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31A7" w:rsidRPr="00804D06" w:rsidRDefault="002C31A7" w:rsidP="00D23BD9">
      <w:pPr>
        <w:spacing w:line="276" w:lineRule="auto"/>
        <w:jc w:val="center"/>
        <w:rPr>
          <w:rFonts w:ascii="Times New Roman" w:hAnsi="Times New Roman" w:cs="Times New Roman"/>
          <w:sz w:val="24"/>
          <w:szCs w:val="24"/>
          <w:lang w:val="bg-BG"/>
        </w:rPr>
      </w:pPr>
      <w:r w:rsidRPr="00804D06">
        <w:rPr>
          <w:rFonts w:ascii="Times New Roman" w:hAnsi="Times New Roman" w:cs="Times New Roman"/>
          <w:sz w:val="24"/>
          <w:szCs w:val="24"/>
          <w:lang w:val="bg-BG"/>
        </w:rPr>
        <w:t>Превод от английски на български език на резюметата на публикации на</w:t>
      </w:r>
    </w:p>
    <w:p w:rsidR="002C31A7" w:rsidRPr="00804D06" w:rsidRDefault="002C31A7" w:rsidP="00D23BD9">
      <w:pPr>
        <w:spacing w:line="276" w:lineRule="auto"/>
        <w:jc w:val="center"/>
        <w:rPr>
          <w:rFonts w:ascii="Times New Roman" w:hAnsi="Times New Roman" w:cs="Times New Roman"/>
          <w:sz w:val="24"/>
          <w:szCs w:val="24"/>
          <w:lang w:val="bg-BG"/>
        </w:rPr>
      </w:pPr>
      <w:r w:rsidRPr="00804D06">
        <w:rPr>
          <w:rFonts w:ascii="Times New Roman" w:hAnsi="Times New Roman" w:cs="Times New Roman"/>
          <w:sz w:val="24"/>
          <w:szCs w:val="24"/>
          <w:lang w:val="bg-BG"/>
        </w:rPr>
        <w:t>гл. ас. д-р Калоян Валентинов Костов</w:t>
      </w:r>
    </w:p>
    <w:p w:rsidR="002C31A7" w:rsidRPr="00804D06" w:rsidRDefault="002C31A7" w:rsidP="00D23BD9">
      <w:pPr>
        <w:spacing w:line="276" w:lineRule="auto"/>
        <w:jc w:val="center"/>
        <w:rPr>
          <w:rFonts w:ascii="Times New Roman" w:hAnsi="Times New Roman" w:cs="Times New Roman"/>
          <w:sz w:val="24"/>
          <w:szCs w:val="24"/>
          <w:lang w:val="bg-BG"/>
        </w:rPr>
      </w:pPr>
      <w:r w:rsidRPr="00804D06">
        <w:rPr>
          <w:rFonts w:ascii="Times New Roman" w:hAnsi="Times New Roman" w:cs="Times New Roman"/>
          <w:sz w:val="24"/>
          <w:szCs w:val="24"/>
          <w:lang w:val="bg-BG"/>
        </w:rPr>
        <w:t>включени в конкурса за заемане на академичната длъжност доцент в област на висше образование 6. Аграрни науки и ветеринарна медицина, професионално направление 6.2. Растителна защита, научна специалност „Фитопатология“.</w:t>
      </w:r>
    </w:p>
    <w:p w:rsidR="002C31A7" w:rsidRPr="002C31A7" w:rsidRDefault="002C31A7" w:rsidP="00D23BD9">
      <w:pPr>
        <w:spacing w:after="0" w:line="276" w:lineRule="auto"/>
        <w:jc w:val="both"/>
        <w:rPr>
          <w:lang w:val="bg-BG"/>
        </w:rPr>
      </w:pPr>
    </w:p>
    <w:p w:rsidR="00F829DF" w:rsidRPr="00804D06" w:rsidRDefault="00F829DF" w:rsidP="00D23BD9">
      <w:pPr>
        <w:pStyle w:val="NormalWeb"/>
        <w:numPr>
          <w:ilvl w:val="0"/>
          <w:numId w:val="1"/>
        </w:numPr>
        <w:spacing w:before="0" w:beforeAutospacing="0" w:after="0" w:afterAutospacing="0" w:line="276" w:lineRule="auto"/>
        <w:jc w:val="both"/>
      </w:pPr>
      <w:r w:rsidRPr="00804D06">
        <w:t xml:space="preserve">Lyubenova, A., </w:t>
      </w:r>
      <w:r w:rsidRPr="007C3324">
        <w:rPr>
          <w:b/>
        </w:rPr>
        <w:t>Kostov, K.</w:t>
      </w:r>
      <w:r w:rsidRPr="00804D06">
        <w:t xml:space="preserve">, Tsvetkov, I., Slavov, S. (2014) Possible contribution of </w:t>
      </w:r>
      <w:r w:rsidRPr="00804D06">
        <w:rPr>
          <w:i/>
        </w:rPr>
        <w:t>Phytophthora spp</w:t>
      </w:r>
      <w:r w:rsidRPr="00804D06">
        <w:t>. in decline of Norway spruce (</w:t>
      </w:r>
      <w:r w:rsidRPr="00804D06">
        <w:rPr>
          <w:i/>
        </w:rPr>
        <w:t>P. abies</w:t>
      </w:r>
      <w:r w:rsidRPr="00804D06">
        <w:t xml:space="preserve"> (L.) H. Karst.) stands in Vitosha mountain. Silva Balcanica 15(1), 100–109. </w:t>
      </w:r>
      <w:r w:rsidRPr="009930DC">
        <w:rPr>
          <w:b/>
        </w:rPr>
        <w:t>(</w:t>
      </w:r>
      <w:r w:rsidR="002008A5">
        <w:rPr>
          <w:b/>
        </w:rPr>
        <w:t>В4.</w:t>
      </w:r>
      <w:r w:rsidRPr="009930DC">
        <w:rPr>
          <w:b/>
        </w:rPr>
        <w:t>1)</w:t>
      </w:r>
    </w:p>
    <w:p w:rsidR="00F829DF" w:rsidRPr="00804D06" w:rsidRDefault="00F829DF" w:rsidP="00D23BD9">
      <w:pPr>
        <w:spacing w:after="0" w:line="276" w:lineRule="auto"/>
        <w:jc w:val="both"/>
        <w:rPr>
          <w:rFonts w:ascii="Times New Roman" w:hAnsi="Times New Roman" w:cs="Times New Roman"/>
          <w:sz w:val="24"/>
          <w:szCs w:val="24"/>
          <w:lang w:val="bg-BG"/>
        </w:rPr>
      </w:pPr>
    </w:p>
    <w:p w:rsidR="00F829DF" w:rsidRPr="00804D06" w:rsidRDefault="00F829DF" w:rsidP="00D23BD9">
      <w:pPr>
        <w:spacing w:after="0" w:line="276" w:lineRule="auto"/>
        <w:jc w:val="both"/>
        <w:rPr>
          <w:rFonts w:ascii="Times New Roman" w:hAnsi="Times New Roman" w:cs="Times New Roman"/>
          <w:sz w:val="24"/>
          <w:szCs w:val="24"/>
          <w:lang w:val="en-GB"/>
        </w:rPr>
      </w:pPr>
      <w:r w:rsidRPr="00804D06">
        <w:rPr>
          <w:rFonts w:ascii="Times New Roman" w:hAnsi="Times New Roman" w:cs="Times New Roman"/>
          <w:sz w:val="24"/>
          <w:szCs w:val="24"/>
        </w:rPr>
        <w:t xml:space="preserve">Possible contribution of </w:t>
      </w:r>
      <w:r w:rsidRPr="00804D06">
        <w:rPr>
          <w:rFonts w:ascii="Times New Roman" w:hAnsi="Times New Roman" w:cs="Times New Roman"/>
          <w:i/>
          <w:sz w:val="24"/>
          <w:szCs w:val="24"/>
        </w:rPr>
        <w:t>Phytophthora spp</w:t>
      </w:r>
      <w:r w:rsidRPr="00804D06">
        <w:rPr>
          <w:rFonts w:ascii="Times New Roman" w:hAnsi="Times New Roman" w:cs="Times New Roman"/>
          <w:sz w:val="24"/>
          <w:szCs w:val="24"/>
        </w:rPr>
        <w:t>. in decline of norway spruce (</w:t>
      </w:r>
      <w:r w:rsidRPr="00804D06">
        <w:rPr>
          <w:rFonts w:ascii="Times New Roman" w:hAnsi="Times New Roman" w:cs="Times New Roman"/>
          <w:i/>
          <w:sz w:val="24"/>
          <w:szCs w:val="24"/>
        </w:rPr>
        <w:t>P. abies</w:t>
      </w:r>
      <w:r w:rsidRPr="00804D06">
        <w:rPr>
          <w:rFonts w:ascii="Times New Roman" w:hAnsi="Times New Roman" w:cs="Times New Roman"/>
          <w:sz w:val="24"/>
          <w:szCs w:val="24"/>
        </w:rPr>
        <w:t xml:space="preserve"> (L.) H. Karst.) stands in Vitosha mountain</w:t>
      </w:r>
    </w:p>
    <w:p w:rsidR="00F829DF" w:rsidRPr="009930DC" w:rsidRDefault="00F829DF" w:rsidP="00D23BD9">
      <w:pPr>
        <w:spacing w:after="0" w:line="276" w:lineRule="auto"/>
        <w:jc w:val="both"/>
        <w:rPr>
          <w:rFonts w:ascii="Times New Roman" w:hAnsi="Times New Roman" w:cs="Times New Roman"/>
          <w:sz w:val="24"/>
          <w:szCs w:val="24"/>
          <w:lang w:val="bg-BG"/>
        </w:rPr>
      </w:pPr>
    </w:p>
    <w:p w:rsidR="00F829DF" w:rsidRPr="00804D06" w:rsidRDefault="00F829DF" w:rsidP="00D23BD9">
      <w:pPr>
        <w:spacing w:after="0" w:line="276" w:lineRule="auto"/>
        <w:jc w:val="both"/>
        <w:rPr>
          <w:rFonts w:ascii="Times New Roman" w:hAnsi="Times New Roman" w:cs="Times New Roman"/>
          <w:sz w:val="24"/>
          <w:szCs w:val="24"/>
          <w:lang w:val="en-GB"/>
        </w:rPr>
      </w:pPr>
      <w:r w:rsidRPr="00804D06">
        <w:rPr>
          <w:rFonts w:ascii="Times New Roman" w:hAnsi="Times New Roman" w:cs="Times New Roman"/>
          <w:sz w:val="24"/>
          <w:szCs w:val="24"/>
          <w:lang w:val="en-GB"/>
        </w:rPr>
        <w:t>Abstract</w:t>
      </w:r>
    </w:p>
    <w:p w:rsidR="00F829DF" w:rsidRPr="00804D06" w:rsidRDefault="00F829DF" w:rsidP="00D23BD9">
      <w:pPr>
        <w:spacing w:after="0" w:line="276" w:lineRule="auto"/>
        <w:jc w:val="both"/>
        <w:rPr>
          <w:rFonts w:ascii="Times New Roman" w:hAnsi="Times New Roman" w:cs="Times New Roman"/>
          <w:sz w:val="24"/>
          <w:szCs w:val="24"/>
          <w:lang w:val="en-GB"/>
        </w:rPr>
      </w:pPr>
      <w:r w:rsidRPr="00804D06">
        <w:rPr>
          <w:rFonts w:ascii="Times New Roman" w:hAnsi="Times New Roman" w:cs="Times New Roman"/>
          <w:sz w:val="24"/>
          <w:szCs w:val="24"/>
        </w:rPr>
        <w:t xml:space="preserve">In recеnts years lots of evidences were accumulated regarding involvement of </w:t>
      </w:r>
      <w:r w:rsidRPr="00804D06">
        <w:rPr>
          <w:rFonts w:ascii="Times New Roman" w:hAnsi="Times New Roman" w:cs="Times New Roman"/>
          <w:i/>
          <w:sz w:val="24"/>
          <w:szCs w:val="24"/>
        </w:rPr>
        <w:t>Phytophthora spp</w:t>
      </w:r>
      <w:r w:rsidRPr="00804D06">
        <w:rPr>
          <w:rFonts w:ascii="Times New Roman" w:hAnsi="Times New Roman" w:cs="Times New Roman"/>
          <w:sz w:val="24"/>
          <w:szCs w:val="24"/>
        </w:rPr>
        <w:t xml:space="preserve">. in the descent of important forest tree populations across Europe and worldwide. In our survey we explored the possibility (hypothesis) fungi-like pathogens from genus </w:t>
      </w:r>
      <w:r w:rsidRPr="00804D06">
        <w:rPr>
          <w:rFonts w:ascii="Times New Roman" w:hAnsi="Times New Roman" w:cs="Times New Roman"/>
          <w:i/>
          <w:sz w:val="24"/>
          <w:szCs w:val="24"/>
        </w:rPr>
        <w:t>Phytophthora to</w:t>
      </w:r>
      <w:r w:rsidRPr="00804D06">
        <w:rPr>
          <w:rFonts w:ascii="Times New Roman" w:hAnsi="Times New Roman" w:cs="Times New Roman"/>
          <w:sz w:val="24"/>
          <w:szCs w:val="24"/>
        </w:rPr>
        <w:t xml:space="preserve"> be involved in the deteriorating processes in Norway spruce (</w:t>
      </w:r>
      <w:r w:rsidRPr="007C3324">
        <w:rPr>
          <w:rFonts w:ascii="Times New Roman" w:hAnsi="Times New Roman" w:cs="Times New Roman"/>
          <w:i/>
          <w:sz w:val="24"/>
          <w:szCs w:val="24"/>
        </w:rPr>
        <w:t xml:space="preserve">Picea abies </w:t>
      </w:r>
      <w:r w:rsidRPr="00804D06">
        <w:rPr>
          <w:rFonts w:ascii="Times New Roman" w:hAnsi="Times New Roman" w:cs="Times New Roman"/>
          <w:sz w:val="24"/>
          <w:szCs w:val="24"/>
        </w:rPr>
        <w:t>(L.) H. Karst.) stands in Vitosha Mountain. Two Phytopthora species (</w:t>
      </w:r>
      <w:r w:rsidRPr="00804D06">
        <w:rPr>
          <w:rFonts w:ascii="Times New Roman" w:hAnsi="Times New Roman" w:cs="Times New Roman"/>
          <w:i/>
          <w:sz w:val="24"/>
          <w:szCs w:val="24"/>
        </w:rPr>
        <w:t>P. cambivora</w:t>
      </w:r>
      <w:r w:rsidRPr="00804D06">
        <w:rPr>
          <w:rFonts w:ascii="Times New Roman" w:hAnsi="Times New Roman" w:cs="Times New Roman"/>
          <w:sz w:val="24"/>
          <w:szCs w:val="24"/>
        </w:rPr>
        <w:t xml:space="preserve"> (Petri) Buisman) and </w:t>
      </w:r>
      <w:r w:rsidRPr="00804D06">
        <w:rPr>
          <w:rFonts w:ascii="Times New Roman" w:hAnsi="Times New Roman" w:cs="Times New Roman"/>
          <w:i/>
          <w:sz w:val="24"/>
          <w:szCs w:val="24"/>
        </w:rPr>
        <w:t>P. cryptogea</w:t>
      </w:r>
      <w:r w:rsidRPr="00804D06">
        <w:rPr>
          <w:rFonts w:ascii="Times New Roman" w:hAnsi="Times New Roman" w:cs="Times New Roman"/>
          <w:sz w:val="24"/>
          <w:szCs w:val="24"/>
        </w:rPr>
        <w:t xml:space="preserve"> Pethybr. et Laff.) were isolated and identified on the basis of morphological, cultural and molecular traits. Both species are known as important pathogens with a broad range of host species. They are also recognized as causing agents of the destructive ‘Ink disease’ </w:t>
      </w:r>
      <w:r w:rsidRPr="007C3324">
        <w:rPr>
          <w:rFonts w:ascii="Times New Roman" w:hAnsi="Times New Roman" w:cs="Times New Roman"/>
          <w:i/>
          <w:sz w:val="24"/>
          <w:szCs w:val="24"/>
        </w:rPr>
        <w:t>on Castanea sativa</w:t>
      </w:r>
      <w:r w:rsidRPr="00804D06">
        <w:rPr>
          <w:rFonts w:ascii="Times New Roman" w:hAnsi="Times New Roman" w:cs="Times New Roman"/>
          <w:sz w:val="24"/>
          <w:szCs w:val="24"/>
        </w:rPr>
        <w:t xml:space="preserve">, which is reported to resurge in Europe. In many cases of descent of forest tree populations across Europe </w:t>
      </w:r>
      <w:r w:rsidRPr="00804D06">
        <w:rPr>
          <w:rFonts w:ascii="Times New Roman" w:hAnsi="Times New Roman" w:cs="Times New Roman"/>
          <w:i/>
          <w:sz w:val="24"/>
          <w:szCs w:val="24"/>
        </w:rPr>
        <w:t>Phytophthora spp</w:t>
      </w:r>
      <w:r w:rsidRPr="00804D06">
        <w:rPr>
          <w:rFonts w:ascii="Times New Roman" w:hAnsi="Times New Roman" w:cs="Times New Roman"/>
          <w:sz w:val="24"/>
          <w:szCs w:val="24"/>
        </w:rPr>
        <w:t>. are considered as primary invaders. From this point of view, an assessment of the risk these pathogens to be involved within the range of factors negatively affecting the ecosystems in Vitosha Mountain, is urgently needed.</w:t>
      </w:r>
    </w:p>
    <w:p w:rsidR="00F829DF" w:rsidRPr="00804D06" w:rsidRDefault="00F829DF" w:rsidP="00D23BD9">
      <w:pPr>
        <w:spacing w:after="0" w:line="276" w:lineRule="auto"/>
        <w:jc w:val="both"/>
        <w:rPr>
          <w:rFonts w:ascii="Times New Roman" w:hAnsi="Times New Roman" w:cs="Times New Roman"/>
          <w:sz w:val="24"/>
          <w:szCs w:val="24"/>
          <w:lang w:val="bg-BG"/>
        </w:rPr>
      </w:pPr>
    </w:p>
    <w:p w:rsidR="00F829DF" w:rsidRPr="00804D06" w:rsidRDefault="003C1D77" w:rsidP="00D23BD9">
      <w:pPr>
        <w:spacing w:after="0" w:line="276" w:lineRule="auto"/>
        <w:jc w:val="both"/>
        <w:rPr>
          <w:rFonts w:ascii="Times New Roman" w:hAnsi="Times New Roman" w:cs="Times New Roman"/>
          <w:sz w:val="24"/>
          <w:szCs w:val="24"/>
          <w:lang w:val="bg-BG"/>
        </w:rPr>
      </w:pPr>
      <w:r>
        <w:rPr>
          <w:rFonts w:ascii="Times New Roman" w:hAnsi="Times New Roman" w:cs="Times New Roman"/>
          <w:sz w:val="24"/>
          <w:szCs w:val="24"/>
          <w:lang w:val="bg-BG"/>
        </w:rPr>
        <w:t>Проучване</w:t>
      </w:r>
      <w:r w:rsidR="00F829DF" w:rsidRPr="00804D06">
        <w:rPr>
          <w:rFonts w:ascii="Times New Roman" w:hAnsi="Times New Roman" w:cs="Times New Roman"/>
          <w:sz w:val="24"/>
          <w:szCs w:val="24"/>
          <w:lang w:val="bg-BG"/>
        </w:rPr>
        <w:t xml:space="preserve"> участие</w:t>
      </w:r>
      <w:r>
        <w:rPr>
          <w:rFonts w:ascii="Times New Roman" w:hAnsi="Times New Roman" w:cs="Times New Roman"/>
          <w:sz w:val="24"/>
          <w:szCs w:val="24"/>
          <w:lang w:val="bg-BG"/>
        </w:rPr>
        <w:t>то</w:t>
      </w:r>
      <w:r w:rsidR="00F829DF" w:rsidRPr="00804D06">
        <w:rPr>
          <w:rFonts w:ascii="Times New Roman" w:hAnsi="Times New Roman" w:cs="Times New Roman"/>
          <w:sz w:val="24"/>
          <w:szCs w:val="24"/>
          <w:lang w:val="bg-BG"/>
        </w:rPr>
        <w:t xml:space="preserve"> на видове </w:t>
      </w:r>
      <w:r w:rsidR="00F829DF" w:rsidRPr="00804D06">
        <w:rPr>
          <w:rFonts w:ascii="Times New Roman" w:hAnsi="Times New Roman" w:cs="Times New Roman"/>
          <w:sz w:val="24"/>
          <w:szCs w:val="24"/>
        </w:rPr>
        <w:t>Phytophthora</w:t>
      </w:r>
      <w:r w:rsidR="00F829DF" w:rsidRPr="00804D06">
        <w:rPr>
          <w:rFonts w:ascii="Times New Roman" w:hAnsi="Times New Roman" w:cs="Times New Roman"/>
          <w:sz w:val="24"/>
          <w:szCs w:val="24"/>
          <w:lang w:val="bg-BG"/>
        </w:rPr>
        <w:t xml:space="preserve"> в съхненето на насаждения от обикновен смърч (</w:t>
      </w:r>
      <w:r w:rsidR="00F829DF" w:rsidRPr="00804D06">
        <w:rPr>
          <w:rFonts w:ascii="Times New Roman" w:hAnsi="Times New Roman" w:cs="Times New Roman"/>
          <w:i/>
          <w:sz w:val="24"/>
          <w:szCs w:val="24"/>
        </w:rPr>
        <w:t>P</w:t>
      </w:r>
      <w:r w:rsidR="00F829DF" w:rsidRPr="00804D06">
        <w:rPr>
          <w:rFonts w:ascii="Times New Roman" w:hAnsi="Times New Roman" w:cs="Times New Roman"/>
          <w:i/>
          <w:sz w:val="24"/>
          <w:szCs w:val="24"/>
          <w:lang w:val="bg-BG"/>
        </w:rPr>
        <w:t xml:space="preserve">. </w:t>
      </w:r>
      <w:r w:rsidR="00F829DF" w:rsidRPr="00804D06">
        <w:rPr>
          <w:rFonts w:ascii="Times New Roman" w:hAnsi="Times New Roman" w:cs="Times New Roman"/>
          <w:i/>
          <w:sz w:val="24"/>
          <w:szCs w:val="24"/>
        </w:rPr>
        <w:t>abies</w:t>
      </w:r>
      <w:r w:rsidR="00F829DF" w:rsidRPr="00804D06">
        <w:rPr>
          <w:rFonts w:ascii="Times New Roman" w:hAnsi="Times New Roman" w:cs="Times New Roman"/>
          <w:sz w:val="24"/>
          <w:szCs w:val="24"/>
          <w:lang w:val="bg-BG"/>
        </w:rPr>
        <w:t xml:space="preserve"> (</w:t>
      </w:r>
      <w:r w:rsidR="00F829DF" w:rsidRPr="00804D06">
        <w:rPr>
          <w:rFonts w:ascii="Times New Roman" w:hAnsi="Times New Roman" w:cs="Times New Roman"/>
          <w:sz w:val="24"/>
          <w:szCs w:val="24"/>
        </w:rPr>
        <w:t>L</w:t>
      </w:r>
      <w:r w:rsidR="00F829DF" w:rsidRPr="00804D06">
        <w:rPr>
          <w:rFonts w:ascii="Times New Roman" w:hAnsi="Times New Roman" w:cs="Times New Roman"/>
          <w:sz w:val="24"/>
          <w:szCs w:val="24"/>
          <w:lang w:val="bg-BG"/>
        </w:rPr>
        <w:t xml:space="preserve">.) </w:t>
      </w:r>
      <w:r w:rsidR="00F829DF" w:rsidRPr="00804D06">
        <w:rPr>
          <w:rFonts w:ascii="Times New Roman" w:hAnsi="Times New Roman" w:cs="Times New Roman"/>
          <w:sz w:val="24"/>
          <w:szCs w:val="24"/>
        </w:rPr>
        <w:t>H</w:t>
      </w:r>
      <w:r w:rsidR="00F829DF" w:rsidRPr="00804D06">
        <w:rPr>
          <w:rFonts w:ascii="Times New Roman" w:hAnsi="Times New Roman" w:cs="Times New Roman"/>
          <w:sz w:val="24"/>
          <w:szCs w:val="24"/>
          <w:lang w:val="bg-BG"/>
        </w:rPr>
        <w:t xml:space="preserve">. </w:t>
      </w:r>
      <w:r w:rsidR="00F829DF" w:rsidRPr="00804D06">
        <w:rPr>
          <w:rFonts w:ascii="Times New Roman" w:hAnsi="Times New Roman" w:cs="Times New Roman"/>
          <w:sz w:val="24"/>
          <w:szCs w:val="24"/>
        </w:rPr>
        <w:t>Karst</w:t>
      </w:r>
      <w:r w:rsidR="00F829DF" w:rsidRPr="00804D06">
        <w:rPr>
          <w:rFonts w:ascii="Times New Roman" w:hAnsi="Times New Roman" w:cs="Times New Roman"/>
          <w:sz w:val="24"/>
          <w:szCs w:val="24"/>
          <w:lang w:val="bg-BG"/>
        </w:rPr>
        <w:t>.) в планината Витоша</w:t>
      </w:r>
    </w:p>
    <w:p w:rsidR="00F829DF" w:rsidRPr="00804D06" w:rsidRDefault="00F829DF" w:rsidP="00D23BD9">
      <w:pPr>
        <w:spacing w:after="0" w:line="276" w:lineRule="auto"/>
        <w:jc w:val="both"/>
        <w:rPr>
          <w:rFonts w:ascii="Times New Roman" w:hAnsi="Times New Roman" w:cs="Times New Roman"/>
          <w:sz w:val="24"/>
          <w:szCs w:val="24"/>
          <w:lang w:val="bg-BG"/>
        </w:rPr>
      </w:pPr>
    </w:p>
    <w:p w:rsidR="00F829DF" w:rsidRPr="00804D06" w:rsidRDefault="00F829DF" w:rsidP="00D23BD9">
      <w:pPr>
        <w:spacing w:after="0" w:line="276" w:lineRule="auto"/>
        <w:jc w:val="both"/>
        <w:rPr>
          <w:rFonts w:ascii="Times New Roman" w:hAnsi="Times New Roman" w:cs="Times New Roman"/>
          <w:sz w:val="24"/>
          <w:szCs w:val="24"/>
          <w:lang w:val="bg-BG"/>
        </w:rPr>
      </w:pPr>
      <w:r w:rsidRPr="00804D06">
        <w:rPr>
          <w:rFonts w:ascii="Times New Roman" w:hAnsi="Times New Roman" w:cs="Times New Roman"/>
          <w:sz w:val="24"/>
          <w:szCs w:val="24"/>
          <w:lang w:val="bg-BG"/>
        </w:rPr>
        <w:t>Резюме</w:t>
      </w:r>
    </w:p>
    <w:p w:rsidR="00F829DF" w:rsidRPr="00804D06" w:rsidRDefault="00F829DF" w:rsidP="00D23BD9">
      <w:pPr>
        <w:spacing w:after="0" w:line="276" w:lineRule="auto"/>
        <w:jc w:val="both"/>
        <w:rPr>
          <w:rFonts w:ascii="Times New Roman" w:hAnsi="Times New Roman" w:cs="Times New Roman"/>
          <w:sz w:val="24"/>
          <w:szCs w:val="24"/>
          <w:lang w:val="bg-BG"/>
        </w:rPr>
      </w:pPr>
      <w:r w:rsidRPr="00804D06">
        <w:rPr>
          <w:rFonts w:ascii="Times New Roman" w:hAnsi="Times New Roman" w:cs="Times New Roman"/>
          <w:sz w:val="24"/>
          <w:szCs w:val="24"/>
          <w:lang w:val="bg-BG"/>
        </w:rPr>
        <w:t xml:space="preserve">През последните години бяха натрупани множество доказателства относно участието на видове </w:t>
      </w:r>
      <w:r w:rsidRPr="00804D06">
        <w:rPr>
          <w:rFonts w:ascii="Times New Roman" w:hAnsi="Times New Roman" w:cs="Times New Roman"/>
          <w:sz w:val="24"/>
          <w:szCs w:val="24"/>
        </w:rPr>
        <w:t>Phytophthora</w:t>
      </w:r>
      <w:r w:rsidRPr="00804D06">
        <w:rPr>
          <w:rFonts w:ascii="Times New Roman" w:hAnsi="Times New Roman" w:cs="Times New Roman"/>
          <w:sz w:val="24"/>
          <w:szCs w:val="24"/>
          <w:lang w:val="bg-BG"/>
        </w:rPr>
        <w:t xml:space="preserve"> в съхненето на важни горски дървесни популации в Европа и по света. В нашето проучване изследвахме възможността (хипотезата) гъбоподобните патогени от род </w:t>
      </w:r>
      <w:r w:rsidRPr="00804D06">
        <w:rPr>
          <w:rFonts w:ascii="Times New Roman" w:hAnsi="Times New Roman" w:cs="Times New Roman"/>
          <w:sz w:val="24"/>
          <w:szCs w:val="24"/>
        </w:rPr>
        <w:t>Phytophthora</w:t>
      </w:r>
      <w:r w:rsidRPr="00804D06">
        <w:rPr>
          <w:rFonts w:ascii="Times New Roman" w:hAnsi="Times New Roman" w:cs="Times New Roman"/>
          <w:sz w:val="24"/>
          <w:szCs w:val="24"/>
          <w:lang w:val="bg-BG"/>
        </w:rPr>
        <w:t xml:space="preserve"> да участват в деградационните процеси в насаждения от обикновен смърч (</w:t>
      </w:r>
      <w:r w:rsidRPr="007C3324">
        <w:rPr>
          <w:rFonts w:ascii="Times New Roman" w:hAnsi="Times New Roman" w:cs="Times New Roman"/>
          <w:i/>
          <w:sz w:val="24"/>
          <w:szCs w:val="24"/>
        </w:rPr>
        <w:t>Picea</w:t>
      </w:r>
      <w:r w:rsidRPr="007C3324">
        <w:rPr>
          <w:rFonts w:ascii="Times New Roman" w:hAnsi="Times New Roman" w:cs="Times New Roman"/>
          <w:i/>
          <w:sz w:val="24"/>
          <w:szCs w:val="24"/>
          <w:lang w:val="bg-BG"/>
        </w:rPr>
        <w:t xml:space="preserve"> </w:t>
      </w:r>
      <w:r w:rsidRPr="007C3324">
        <w:rPr>
          <w:rFonts w:ascii="Times New Roman" w:hAnsi="Times New Roman" w:cs="Times New Roman"/>
          <w:i/>
          <w:sz w:val="24"/>
          <w:szCs w:val="24"/>
        </w:rPr>
        <w:t>abies</w:t>
      </w:r>
      <w:r w:rsidRPr="00804D06">
        <w:rPr>
          <w:rFonts w:ascii="Times New Roman" w:hAnsi="Times New Roman" w:cs="Times New Roman"/>
          <w:sz w:val="24"/>
          <w:szCs w:val="24"/>
          <w:lang w:val="bg-BG"/>
        </w:rPr>
        <w:t xml:space="preserve"> (</w:t>
      </w:r>
      <w:r w:rsidRPr="00804D06">
        <w:rPr>
          <w:rFonts w:ascii="Times New Roman" w:hAnsi="Times New Roman" w:cs="Times New Roman"/>
          <w:sz w:val="24"/>
          <w:szCs w:val="24"/>
        </w:rPr>
        <w:t>L</w:t>
      </w:r>
      <w:r w:rsidRPr="00804D06">
        <w:rPr>
          <w:rFonts w:ascii="Times New Roman" w:hAnsi="Times New Roman" w:cs="Times New Roman"/>
          <w:sz w:val="24"/>
          <w:szCs w:val="24"/>
          <w:lang w:val="bg-BG"/>
        </w:rPr>
        <w:t xml:space="preserve">.) </w:t>
      </w:r>
      <w:r w:rsidRPr="00804D06">
        <w:rPr>
          <w:rFonts w:ascii="Times New Roman" w:hAnsi="Times New Roman" w:cs="Times New Roman"/>
          <w:sz w:val="24"/>
          <w:szCs w:val="24"/>
        </w:rPr>
        <w:t>H</w:t>
      </w:r>
      <w:r w:rsidRPr="00804D06">
        <w:rPr>
          <w:rFonts w:ascii="Times New Roman" w:hAnsi="Times New Roman" w:cs="Times New Roman"/>
          <w:sz w:val="24"/>
          <w:szCs w:val="24"/>
          <w:lang w:val="bg-BG"/>
        </w:rPr>
        <w:t xml:space="preserve">. </w:t>
      </w:r>
      <w:r w:rsidRPr="00804D06">
        <w:rPr>
          <w:rFonts w:ascii="Times New Roman" w:hAnsi="Times New Roman" w:cs="Times New Roman"/>
          <w:sz w:val="24"/>
          <w:szCs w:val="24"/>
        </w:rPr>
        <w:t>Karst</w:t>
      </w:r>
      <w:r w:rsidRPr="00804D06">
        <w:rPr>
          <w:rFonts w:ascii="Times New Roman" w:hAnsi="Times New Roman" w:cs="Times New Roman"/>
          <w:sz w:val="24"/>
          <w:szCs w:val="24"/>
          <w:lang w:val="bg-BG"/>
        </w:rPr>
        <w:t xml:space="preserve">.) в планината Витоша. Два вида </w:t>
      </w:r>
      <w:r w:rsidRPr="00804D06">
        <w:rPr>
          <w:rFonts w:ascii="Times New Roman" w:hAnsi="Times New Roman" w:cs="Times New Roman"/>
          <w:sz w:val="24"/>
          <w:szCs w:val="24"/>
        </w:rPr>
        <w:t>Phytophthora</w:t>
      </w:r>
      <w:r w:rsidRPr="00804D06">
        <w:rPr>
          <w:rFonts w:ascii="Times New Roman" w:hAnsi="Times New Roman" w:cs="Times New Roman"/>
          <w:sz w:val="24"/>
          <w:szCs w:val="24"/>
          <w:lang w:val="bg-BG"/>
        </w:rPr>
        <w:t xml:space="preserve"> (</w:t>
      </w:r>
      <w:r w:rsidRPr="00804D06">
        <w:rPr>
          <w:rFonts w:ascii="Times New Roman" w:hAnsi="Times New Roman" w:cs="Times New Roman"/>
          <w:i/>
          <w:sz w:val="24"/>
          <w:szCs w:val="24"/>
        </w:rPr>
        <w:t>P</w:t>
      </w:r>
      <w:r w:rsidRPr="00804D06">
        <w:rPr>
          <w:rFonts w:ascii="Times New Roman" w:hAnsi="Times New Roman" w:cs="Times New Roman"/>
          <w:i/>
          <w:sz w:val="24"/>
          <w:szCs w:val="24"/>
          <w:lang w:val="bg-BG"/>
        </w:rPr>
        <w:t xml:space="preserve">. </w:t>
      </w:r>
      <w:r w:rsidRPr="00804D06">
        <w:rPr>
          <w:rFonts w:ascii="Times New Roman" w:hAnsi="Times New Roman" w:cs="Times New Roman"/>
          <w:i/>
          <w:sz w:val="24"/>
          <w:szCs w:val="24"/>
        </w:rPr>
        <w:t>cambivora</w:t>
      </w:r>
      <w:r w:rsidRPr="00804D06">
        <w:rPr>
          <w:rFonts w:ascii="Times New Roman" w:hAnsi="Times New Roman" w:cs="Times New Roman"/>
          <w:sz w:val="24"/>
          <w:szCs w:val="24"/>
          <w:lang w:val="bg-BG"/>
        </w:rPr>
        <w:t xml:space="preserve"> (</w:t>
      </w:r>
      <w:r w:rsidRPr="00804D06">
        <w:rPr>
          <w:rFonts w:ascii="Times New Roman" w:hAnsi="Times New Roman" w:cs="Times New Roman"/>
          <w:sz w:val="24"/>
          <w:szCs w:val="24"/>
        </w:rPr>
        <w:t>Petri</w:t>
      </w:r>
      <w:r w:rsidRPr="00804D06">
        <w:rPr>
          <w:rFonts w:ascii="Times New Roman" w:hAnsi="Times New Roman" w:cs="Times New Roman"/>
          <w:sz w:val="24"/>
          <w:szCs w:val="24"/>
          <w:lang w:val="bg-BG"/>
        </w:rPr>
        <w:t xml:space="preserve">) </w:t>
      </w:r>
      <w:r w:rsidRPr="00804D06">
        <w:rPr>
          <w:rFonts w:ascii="Times New Roman" w:hAnsi="Times New Roman" w:cs="Times New Roman"/>
          <w:sz w:val="24"/>
          <w:szCs w:val="24"/>
        </w:rPr>
        <w:t>Buisman</w:t>
      </w:r>
      <w:r w:rsidRPr="00804D06">
        <w:rPr>
          <w:rFonts w:ascii="Times New Roman" w:hAnsi="Times New Roman" w:cs="Times New Roman"/>
          <w:sz w:val="24"/>
          <w:szCs w:val="24"/>
          <w:lang w:val="bg-BG"/>
        </w:rPr>
        <w:t xml:space="preserve"> и </w:t>
      </w:r>
      <w:r w:rsidRPr="00804D06">
        <w:rPr>
          <w:rFonts w:ascii="Times New Roman" w:hAnsi="Times New Roman" w:cs="Times New Roman"/>
          <w:i/>
          <w:sz w:val="24"/>
          <w:szCs w:val="24"/>
        </w:rPr>
        <w:t>P</w:t>
      </w:r>
      <w:r w:rsidRPr="00804D06">
        <w:rPr>
          <w:rFonts w:ascii="Times New Roman" w:hAnsi="Times New Roman" w:cs="Times New Roman"/>
          <w:i/>
          <w:sz w:val="24"/>
          <w:szCs w:val="24"/>
          <w:lang w:val="bg-BG"/>
        </w:rPr>
        <w:t xml:space="preserve">. </w:t>
      </w:r>
      <w:r w:rsidRPr="00804D06">
        <w:rPr>
          <w:rFonts w:ascii="Times New Roman" w:hAnsi="Times New Roman" w:cs="Times New Roman"/>
          <w:i/>
          <w:sz w:val="24"/>
          <w:szCs w:val="24"/>
        </w:rPr>
        <w:t>cryptogea</w:t>
      </w:r>
      <w:r w:rsidRPr="00804D06">
        <w:rPr>
          <w:rFonts w:ascii="Times New Roman" w:hAnsi="Times New Roman" w:cs="Times New Roman"/>
          <w:sz w:val="24"/>
          <w:szCs w:val="24"/>
          <w:lang w:val="bg-BG"/>
        </w:rPr>
        <w:t xml:space="preserve"> </w:t>
      </w:r>
      <w:r w:rsidRPr="00804D06">
        <w:rPr>
          <w:rFonts w:ascii="Times New Roman" w:hAnsi="Times New Roman" w:cs="Times New Roman"/>
          <w:sz w:val="24"/>
          <w:szCs w:val="24"/>
        </w:rPr>
        <w:t>Pethybr</w:t>
      </w:r>
      <w:r w:rsidRPr="00804D06">
        <w:rPr>
          <w:rFonts w:ascii="Times New Roman" w:hAnsi="Times New Roman" w:cs="Times New Roman"/>
          <w:sz w:val="24"/>
          <w:szCs w:val="24"/>
          <w:lang w:val="bg-BG"/>
        </w:rPr>
        <w:t xml:space="preserve">. </w:t>
      </w:r>
      <w:r w:rsidRPr="00804D06">
        <w:rPr>
          <w:rFonts w:ascii="Times New Roman" w:hAnsi="Times New Roman" w:cs="Times New Roman"/>
          <w:sz w:val="24"/>
          <w:szCs w:val="24"/>
        </w:rPr>
        <w:t>et</w:t>
      </w:r>
      <w:r w:rsidRPr="00804D06">
        <w:rPr>
          <w:rFonts w:ascii="Times New Roman" w:hAnsi="Times New Roman" w:cs="Times New Roman"/>
          <w:sz w:val="24"/>
          <w:szCs w:val="24"/>
          <w:lang w:val="bg-BG"/>
        </w:rPr>
        <w:t xml:space="preserve"> </w:t>
      </w:r>
      <w:r w:rsidRPr="00804D06">
        <w:rPr>
          <w:rFonts w:ascii="Times New Roman" w:hAnsi="Times New Roman" w:cs="Times New Roman"/>
          <w:sz w:val="24"/>
          <w:szCs w:val="24"/>
        </w:rPr>
        <w:t>Laff</w:t>
      </w:r>
      <w:r w:rsidRPr="00804D06">
        <w:rPr>
          <w:rFonts w:ascii="Times New Roman" w:hAnsi="Times New Roman" w:cs="Times New Roman"/>
          <w:sz w:val="24"/>
          <w:szCs w:val="24"/>
          <w:lang w:val="bg-BG"/>
        </w:rPr>
        <w:t xml:space="preserve">.) бяха изолирани и идентифицирани въз основа на техните морфологични, културални и молекулярни характеристики. И двата вида са известни като важни патогени с широк кръг от гостоприемници. Те са признати и за </w:t>
      </w:r>
      <w:r w:rsidRPr="00804D06">
        <w:rPr>
          <w:rFonts w:ascii="Times New Roman" w:hAnsi="Times New Roman" w:cs="Times New Roman"/>
          <w:sz w:val="24"/>
          <w:szCs w:val="24"/>
          <w:lang w:val="bg-BG"/>
        </w:rPr>
        <w:lastRenderedPageBreak/>
        <w:t>причинители на разрушителната „мастилена болест“ по обикновения кестен (</w:t>
      </w:r>
      <w:r w:rsidRPr="007C3324">
        <w:rPr>
          <w:rFonts w:ascii="Times New Roman" w:hAnsi="Times New Roman" w:cs="Times New Roman"/>
          <w:i/>
          <w:sz w:val="24"/>
          <w:szCs w:val="24"/>
        </w:rPr>
        <w:t>Castanea</w:t>
      </w:r>
      <w:r w:rsidRPr="007C3324">
        <w:rPr>
          <w:rFonts w:ascii="Times New Roman" w:hAnsi="Times New Roman" w:cs="Times New Roman"/>
          <w:i/>
          <w:sz w:val="24"/>
          <w:szCs w:val="24"/>
          <w:lang w:val="bg-BG"/>
        </w:rPr>
        <w:t xml:space="preserve"> </w:t>
      </w:r>
      <w:r w:rsidRPr="007C3324">
        <w:rPr>
          <w:rFonts w:ascii="Times New Roman" w:hAnsi="Times New Roman" w:cs="Times New Roman"/>
          <w:i/>
          <w:sz w:val="24"/>
          <w:szCs w:val="24"/>
        </w:rPr>
        <w:t>sativa</w:t>
      </w:r>
      <w:r w:rsidRPr="00804D06">
        <w:rPr>
          <w:rFonts w:ascii="Times New Roman" w:hAnsi="Times New Roman" w:cs="Times New Roman"/>
          <w:sz w:val="24"/>
          <w:szCs w:val="24"/>
          <w:lang w:val="bg-BG"/>
        </w:rPr>
        <w:t xml:space="preserve">), за която се съобщава, че се възражда в Европа. В много случаи на съхнене на горски популации в Европа видовете </w:t>
      </w:r>
      <w:r w:rsidRPr="00804D06">
        <w:rPr>
          <w:rFonts w:ascii="Times New Roman" w:hAnsi="Times New Roman" w:cs="Times New Roman"/>
          <w:sz w:val="24"/>
          <w:szCs w:val="24"/>
        </w:rPr>
        <w:t>Phytophthora</w:t>
      </w:r>
      <w:r w:rsidRPr="00804D06">
        <w:rPr>
          <w:rFonts w:ascii="Times New Roman" w:hAnsi="Times New Roman" w:cs="Times New Roman"/>
          <w:sz w:val="24"/>
          <w:szCs w:val="24"/>
          <w:lang w:val="bg-BG"/>
        </w:rPr>
        <w:t xml:space="preserve"> се считат за първични нападатели. От тази гледна точка е спешно необходима оценка на риска тези патогени да бъдат включени в обхвата на факторите, влияещи отрицателно върху екосистемите в планината Витоша.</w:t>
      </w:r>
    </w:p>
    <w:p w:rsidR="006A6277" w:rsidRDefault="006A6277" w:rsidP="00D23BD9">
      <w:pPr>
        <w:jc w:val="both"/>
        <w:rPr>
          <w:lang w:val="bg-BG"/>
        </w:rPr>
      </w:pPr>
    </w:p>
    <w:p w:rsidR="00F829DF" w:rsidRPr="00804D06" w:rsidRDefault="00F829DF" w:rsidP="00D23BD9">
      <w:pPr>
        <w:pStyle w:val="NormalWeb"/>
        <w:numPr>
          <w:ilvl w:val="0"/>
          <w:numId w:val="1"/>
        </w:numPr>
        <w:spacing w:before="0" w:beforeAutospacing="0" w:after="0" w:afterAutospacing="0" w:line="276" w:lineRule="auto"/>
        <w:jc w:val="both"/>
      </w:pPr>
      <w:r w:rsidRPr="00804D06">
        <w:rPr>
          <w:b/>
        </w:rPr>
        <w:t>Kostov, K.</w:t>
      </w:r>
      <w:r w:rsidRPr="00804D06">
        <w:t xml:space="preserve">, Krogh, P.H., Damgaard, C.F., Sweet, J.B., Hendriksen, N.B. (2014) Are soil microbial endpoints changed by Bt crops compared with conventional crops? A systematic review protocol. Environmental Evidence 3(1), 11. </w:t>
      </w:r>
      <w:r w:rsidRPr="00091CF1">
        <w:rPr>
          <w:b/>
        </w:rPr>
        <w:t>(</w:t>
      </w:r>
      <w:r w:rsidR="002008A5">
        <w:rPr>
          <w:b/>
        </w:rPr>
        <w:t>В4.</w:t>
      </w:r>
      <w:r w:rsidRPr="00091CF1">
        <w:rPr>
          <w:b/>
        </w:rPr>
        <w:t>2)</w:t>
      </w:r>
    </w:p>
    <w:p w:rsidR="00F829DF" w:rsidRPr="00804D06" w:rsidRDefault="00F829DF" w:rsidP="00D23BD9">
      <w:pPr>
        <w:pStyle w:val="NormalWeb"/>
        <w:spacing w:before="0" w:beforeAutospacing="0" w:after="0" w:afterAutospacing="0" w:line="276" w:lineRule="auto"/>
        <w:jc w:val="both"/>
      </w:pPr>
    </w:p>
    <w:p w:rsidR="00F829DF" w:rsidRPr="00804D06" w:rsidRDefault="00F829DF" w:rsidP="00D23BD9">
      <w:pPr>
        <w:pStyle w:val="NormalWeb"/>
        <w:spacing w:before="0" w:beforeAutospacing="0" w:after="0" w:afterAutospacing="0" w:line="276" w:lineRule="auto"/>
        <w:jc w:val="both"/>
      </w:pPr>
      <w:r w:rsidRPr="00804D06">
        <w:t>Are soil microbial endpoints changed by Bt crops compared with conventional crops? A systematic review protocol</w:t>
      </w:r>
    </w:p>
    <w:p w:rsidR="00F829DF" w:rsidRPr="00804D06" w:rsidRDefault="00F829DF" w:rsidP="00D23BD9">
      <w:pPr>
        <w:pStyle w:val="NormalWeb"/>
        <w:spacing w:before="0" w:beforeAutospacing="0" w:after="0" w:afterAutospacing="0" w:line="276" w:lineRule="auto"/>
        <w:jc w:val="both"/>
      </w:pPr>
    </w:p>
    <w:p w:rsidR="00F829DF" w:rsidRPr="00804D06" w:rsidRDefault="00F829DF" w:rsidP="00D23BD9">
      <w:pPr>
        <w:pStyle w:val="NormalWeb"/>
        <w:spacing w:before="0" w:beforeAutospacing="0" w:after="0" w:afterAutospacing="0" w:line="276" w:lineRule="auto"/>
        <w:jc w:val="both"/>
      </w:pPr>
      <w:r w:rsidRPr="00804D06">
        <w:t xml:space="preserve">Abstract </w:t>
      </w:r>
    </w:p>
    <w:p w:rsidR="00F829DF" w:rsidRPr="00804D06" w:rsidRDefault="00F829DF" w:rsidP="00D23BD9">
      <w:pPr>
        <w:pStyle w:val="NormalWeb"/>
        <w:spacing w:before="0" w:beforeAutospacing="0" w:after="0" w:afterAutospacing="0" w:line="276" w:lineRule="auto"/>
        <w:jc w:val="both"/>
      </w:pPr>
      <w:r w:rsidRPr="00804D06">
        <w:t xml:space="preserve">Background: Bt crops have raised environmental concerns over consequences for sustainability of soil biodiversity and ecosystems services in agricultural land. As Bt crops contain insecticidal proteins potential interactions with non-target organisms are of major concern for the risk assessment. In recent years, numerous field and laboratory studies have been conducted to assess the potential adverse effects of the Bt crops on different non- target organisms including microorganisms living in the soil. Soil microorganisms include primarily bacteria and fungi. They interact with plants and animals and play significant roles in nutrient cycling and energy flow in soils and are actively involved in chemical and biological processes. It is likely that any changes accruing in soil will affect soil microorganisms, and so their abundance/diversity and activities can be used as indicators for many aspects of soil quality, and thus for the assessment of the potential effects Bt crops on the environment. </w:t>
      </w:r>
    </w:p>
    <w:p w:rsidR="00F829DF" w:rsidRPr="00804D06" w:rsidRDefault="00F829DF" w:rsidP="00D23BD9">
      <w:pPr>
        <w:pStyle w:val="NormalWeb"/>
        <w:spacing w:before="0" w:beforeAutospacing="0" w:after="0" w:afterAutospacing="0" w:line="276" w:lineRule="auto"/>
        <w:jc w:val="both"/>
      </w:pPr>
      <w:r w:rsidRPr="00804D06">
        <w:t>Methods: The key review question is: Are abundances/diversity/activities of soil microorganisms changed by Bt crops compared with conventional crops? For this purpose relevant literature will be collected systematically through a comprehensive search strategy in a number of general, specialized and personal databases. The search terms will define the locality or type of laboratory/glasshouse study – the field, soil, rhizosphere, the populations - types of soil microorganisms, the exposure - types of Bt proteins, the assessed outcome -abundances/diversity/activity of microorganisms and the crop, will be used for retrieving of relevant studies. We present the criteria against which studies will be included in the review and how they will be assessed. These criteria include appropriate study designs and comparators. This protocol outlines the type of analyses that will be performed to assess bias of the selected studies and if co-variables describing the heterogeneity of the studies introduces biases. The synthesis will be performed as a quantitative synthesis combining the magnitude of potential effects from the individual studies. The synthesis will include assessments of heterogeneity related to the studied abundances/ diversities/activities, types of exposure, methodology, comparators and publication bias.</w:t>
      </w:r>
    </w:p>
    <w:p w:rsidR="00F829DF" w:rsidRDefault="00F829DF" w:rsidP="00D23BD9">
      <w:pPr>
        <w:pStyle w:val="NormalWeb"/>
        <w:spacing w:before="0" w:beforeAutospacing="0" w:after="0" w:afterAutospacing="0" w:line="276" w:lineRule="auto"/>
        <w:jc w:val="both"/>
        <w:rPr>
          <w:lang w:val="bg-BG"/>
        </w:rPr>
      </w:pPr>
    </w:p>
    <w:p w:rsidR="00F829DF" w:rsidRDefault="00F829DF" w:rsidP="00D23BD9">
      <w:pPr>
        <w:pStyle w:val="NormalWeb"/>
        <w:spacing w:before="0" w:beforeAutospacing="0" w:after="0" w:afterAutospacing="0" w:line="276" w:lineRule="auto"/>
        <w:jc w:val="both"/>
        <w:rPr>
          <w:lang w:val="bg-BG"/>
        </w:rPr>
      </w:pPr>
      <w:r w:rsidRPr="009930DC">
        <w:rPr>
          <w:lang w:val="bg-BG"/>
        </w:rPr>
        <w:t>Променят ли се микробиологичн</w:t>
      </w:r>
      <w:r>
        <w:rPr>
          <w:lang w:val="bg-BG"/>
        </w:rPr>
        <w:t xml:space="preserve">ите показатели на почвата при </w:t>
      </w:r>
      <w:r>
        <w:t>Bt</w:t>
      </w:r>
      <w:r w:rsidRPr="009930DC">
        <w:rPr>
          <w:lang w:val="bg-BG"/>
        </w:rPr>
        <w:t xml:space="preserve"> културите в сравнение с конвенционалните култури? Протокол за систематичен преглед</w:t>
      </w:r>
    </w:p>
    <w:p w:rsidR="00F829DF" w:rsidRPr="00804D06" w:rsidRDefault="00F829DF" w:rsidP="00D23BD9">
      <w:pPr>
        <w:pStyle w:val="NormalWeb"/>
        <w:spacing w:before="0" w:beforeAutospacing="0" w:after="0" w:afterAutospacing="0" w:line="276" w:lineRule="auto"/>
        <w:jc w:val="both"/>
        <w:rPr>
          <w:lang w:val="bg-BG"/>
        </w:rPr>
      </w:pPr>
    </w:p>
    <w:p w:rsidR="00F829DF" w:rsidRPr="00804D06" w:rsidRDefault="00F829DF" w:rsidP="00D23BD9">
      <w:pPr>
        <w:pStyle w:val="NormalWeb"/>
        <w:spacing w:before="0" w:beforeAutospacing="0" w:after="0" w:afterAutospacing="0" w:line="276" w:lineRule="auto"/>
        <w:jc w:val="both"/>
        <w:rPr>
          <w:lang w:val="bg-BG"/>
        </w:rPr>
      </w:pPr>
      <w:r w:rsidRPr="00804D06">
        <w:rPr>
          <w:lang w:val="bg-BG"/>
        </w:rPr>
        <w:t>Резюме</w:t>
      </w:r>
    </w:p>
    <w:p w:rsidR="00F829DF" w:rsidRPr="00804D06" w:rsidRDefault="00F829DF" w:rsidP="00D23BD9">
      <w:pPr>
        <w:pStyle w:val="NormalWeb"/>
        <w:spacing w:before="0" w:beforeAutospacing="0" w:after="0" w:afterAutospacing="0" w:line="276" w:lineRule="auto"/>
        <w:jc w:val="both"/>
        <w:rPr>
          <w:lang w:val="bg-BG"/>
        </w:rPr>
      </w:pPr>
      <w:r w:rsidRPr="00804D06">
        <w:rPr>
          <w:lang w:val="bg-BG"/>
        </w:rPr>
        <w:t>Въведение: Отграждането на Bt култури предизвиква опасения свързани с околната среда относно последиците за устойчивостта на почвеното биоразнообразие и екосистемните услуги в земеделските земи. Тъй като Bt културите съдържат инсектицидни протеини, потенциалните взаимодействия с нецелеви организми са от основно значение за оценката на риска. През последните години са проведени множество полеви и лабораторни изследвания за оценка на потенциалните неблагоприятни ефекти на Bt културите върху различни нецелеви организми, включително микроорганизми, живеещи в почвата. Почвените микроорганизми включват предимно бактерии и гъби. Те взаимодействат с растенията и животните, играят важна роля в кръговрата на хранителните вещества и енергийния поток в почвите и участват активно в химичните и биологичните процеси. Голяма е вероятността всяка промяна в почвата да повлияе на почвените микроорганизми, поради което тяхното изобилие/разнообразие и функции могат да се използват като показатели за много аспекти на качеството на почвата и съответно за оценка на потенциалните ефекти на Bt културите върху околната среда.</w:t>
      </w:r>
    </w:p>
    <w:p w:rsidR="00F829DF" w:rsidRPr="00804D06" w:rsidRDefault="00F829DF" w:rsidP="00D23BD9">
      <w:pPr>
        <w:pStyle w:val="NormalWeb"/>
        <w:spacing w:before="0" w:beforeAutospacing="0" w:after="0" w:afterAutospacing="0" w:line="276" w:lineRule="auto"/>
        <w:jc w:val="both"/>
        <w:rPr>
          <w:lang w:val="bg-BG"/>
        </w:rPr>
      </w:pPr>
      <w:r w:rsidRPr="00804D06">
        <w:rPr>
          <w:lang w:val="bg-BG"/>
        </w:rPr>
        <w:t>Методи: Ключовият въпрос на ревюто е: Променят ли се изобилието/разнообразието/функциите на почвените микроорганизми при Bt културите в сравнение с конвенционалните култури? За тази цел систематично ще бъде събрана подходяща литература чрез всеобхватна стратегия за търсене в редица общи, специализирани и лични бази данни. Термините за търсене ще описват локацията или типа лабораторно/оранжерийно изследване (поле, почва, ризосфера), изследваните популации (видове почвени микроорганизми), интервенцията (типове Bt протеини), изследваните параметри (изобилие/разнообразие/активност на микроорганизмите) и вида на културата. Представяме критериите, според които изследванията ще бъдат включени в прегледа, и начина, по който ще бъдат оценявани. Тези критерии включват подходящ дизайн на изследването и контролните групи. Този протокол очертава вида анализи, които ще бъдат извършени за оценка на субективността на избраните изследвания и дали съпътстващите фактори, описващи хетерогенността на изследванията, водят до отклонения. Синтезът ще бъде извършен количествено, чрез обединяване на големината на потенциалните ефекти от отделните изследвания. Той ще включва оценки на хетерогенността, свързана с изследваните нива на изобилие/разнообразие/активност, видовете интервенции, методологията, контролните групи и пристрастност при публикуването.</w:t>
      </w:r>
    </w:p>
    <w:p w:rsidR="00F829DF" w:rsidRDefault="00F829DF" w:rsidP="00D23BD9">
      <w:pPr>
        <w:jc w:val="both"/>
        <w:rPr>
          <w:lang w:val="bg-BG"/>
        </w:rPr>
      </w:pPr>
    </w:p>
    <w:p w:rsidR="00126B5D" w:rsidRPr="00804D06" w:rsidRDefault="00126B5D" w:rsidP="00D23BD9">
      <w:pPr>
        <w:pStyle w:val="NormalWeb"/>
        <w:numPr>
          <w:ilvl w:val="0"/>
          <w:numId w:val="1"/>
        </w:numPr>
        <w:spacing w:before="0" w:beforeAutospacing="0" w:after="0" w:afterAutospacing="0" w:line="276" w:lineRule="auto"/>
        <w:jc w:val="both"/>
      </w:pPr>
      <w:r w:rsidRPr="00804D06">
        <w:t>Fodor</w:t>
      </w:r>
      <w:r w:rsidRPr="00804D06">
        <w:rPr>
          <w:lang w:val="bg-BG"/>
        </w:rPr>
        <w:t xml:space="preserve">, </w:t>
      </w:r>
      <w:r w:rsidRPr="00804D06">
        <w:t>E</w:t>
      </w:r>
      <w:r w:rsidRPr="00804D06">
        <w:rPr>
          <w:lang w:val="bg-BG"/>
        </w:rPr>
        <w:t xml:space="preserve">., </w:t>
      </w:r>
      <w:r w:rsidRPr="00804D06">
        <w:t>H</w:t>
      </w:r>
      <w:r w:rsidRPr="00804D06">
        <w:rPr>
          <w:lang w:val="bg-BG"/>
        </w:rPr>
        <w:t>â</w:t>
      </w:r>
      <w:r w:rsidRPr="00804D06">
        <w:t>ru</w:t>
      </w:r>
      <w:r w:rsidRPr="00804D06">
        <w:rPr>
          <w:lang w:val="bg-BG"/>
        </w:rPr>
        <w:t>ţ</w:t>
      </w:r>
      <w:r w:rsidRPr="00804D06">
        <w:t>a</w:t>
      </w:r>
      <w:r w:rsidRPr="00804D06">
        <w:rPr>
          <w:lang w:val="bg-BG"/>
        </w:rPr>
        <w:t xml:space="preserve">, </w:t>
      </w:r>
      <w:r w:rsidRPr="00804D06">
        <w:t>O</w:t>
      </w:r>
      <w:r w:rsidRPr="00804D06">
        <w:rPr>
          <w:lang w:val="bg-BG"/>
        </w:rPr>
        <w:t xml:space="preserve">., </w:t>
      </w:r>
      <w:r w:rsidRPr="00804D06">
        <w:t>Milenkovi</w:t>
      </w:r>
      <w:r w:rsidRPr="00804D06">
        <w:rPr>
          <w:lang w:val="bg-BG"/>
        </w:rPr>
        <w:t xml:space="preserve">ć, </w:t>
      </w:r>
      <w:r w:rsidRPr="00804D06">
        <w:t>I</w:t>
      </w:r>
      <w:r w:rsidRPr="00804D06">
        <w:rPr>
          <w:lang w:val="bg-BG"/>
        </w:rPr>
        <w:t xml:space="preserve">., </w:t>
      </w:r>
      <w:r w:rsidRPr="00804D06">
        <w:t>Lyubenova</w:t>
      </w:r>
      <w:r w:rsidRPr="00804D06">
        <w:rPr>
          <w:lang w:val="bg-BG"/>
        </w:rPr>
        <w:t xml:space="preserve">, </w:t>
      </w:r>
      <w:r w:rsidRPr="00804D06">
        <w:t>A</w:t>
      </w:r>
      <w:r w:rsidRPr="00804D06">
        <w:rPr>
          <w:lang w:val="bg-BG"/>
        </w:rPr>
        <w:t xml:space="preserve">., </w:t>
      </w:r>
      <w:r w:rsidRPr="00804D06">
        <w:t>Tziros</w:t>
      </w:r>
      <w:r w:rsidRPr="00804D06">
        <w:rPr>
          <w:lang w:val="bg-BG"/>
        </w:rPr>
        <w:t xml:space="preserve">, </w:t>
      </w:r>
      <w:r w:rsidRPr="00804D06">
        <w:t>G</w:t>
      </w:r>
      <w:r w:rsidRPr="00804D06">
        <w:rPr>
          <w:lang w:val="bg-BG"/>
        </w:rPr>
        <w:t xml:space="preserve">., </w:t>
      </w:r>
      <w:r w:rsidRPr="00804D06">
        <w:t>Ke</w:t>
      </w:r>
      <w:r w:rsidRPr="00804D06">
        <w:rPr>
          <w:lang w:val="bg-BG"/>
        </w:rPr>
        <w:t>č</w:t>
      </w:r>
      <w:r w:rsidRPr="00804D06">
        <w:t>a</w:t>
      </w:r>
      <w:r w:rsidRPr="00804D06">
        <w:rPr>
          <w:lang w:val="bg-BG"/>
        </w:rPr>
        <w:t xml:space="preserve">, </w:t>
      </w:r>
      <w:r w:rsidRPr="00804D06">
        <w:t>N</w:t>
      </w:r>
      <w:r w:rsidRPr="00804D06">
        <w:rPr>
          <w:lang w:val="bg-BG"/>
        </w:rPr>
        <w:t xml:space="preserve">., </w:t>
      </w:r>
      <w:r w:rsidRPr="00804D06">
        <w:t>Slavov</w:t>
      </w:r>
      <w:r w:rsidRPr="00804D06">
        <w:rPr>
          <w:lang w:val="bg-BG"/>
        </w:rPr>
        <w:t xml:space="preserve">, </w:t>
      </w:r>
      <w:r w:rsidRPr="00804D06">
        <w:t>S</w:t>
      </w:r>
      <w:r w:rsidRPr="00804D06">
        <w:rPr>
          <w:lang w:val="bg-BG"/>
        </w:rPr>
        <w:t xml:space="preserve">., </w:t>
      </w:r>
      <w:r w:rsidRPr="00804D06">
        <w:t>Diamandis</w:t>
      </w:r>
      <w:r w:rsidRPr="00804D06">
        <w:rPr>
          <w:lang w:val="bg-BG"/>
        </w:rPr>
        <w:t xml:space="preserve">, </w:t>
      </w:r>
      <w:r w:rsidRPr="00804D06">
        <w:t>S</w:t>
      </w:r>
      <w:r w:rsidRPr="00804D06">
        <w:rPr>
          <w:lang w:val="bg-BG"/>
        </w:rPr>
        <w:t xml:space="preserve">., </w:t>
      </w:r>
      <w:r w:rsidRPr="000017C5">
        <w:rPr>
          <w:b/>
        </w:rPr>
        <w:t>Kostov</w:t>
      </w:r>
      <w:r w:rsidRPr="000017C5">
        <w:rPr>
          <w:b/>
          <w:lang w:val="bg-BG"/>
        </w:rPr>
        <w:t xml:space="preserve">, </w:t>
      </w:r>
      <w:r w:rsidRPr="000017C5">
        <w:rPr>
          <w:b/>
        </w:rPr>
        <w:t>K</w:t>
      </w:r>
      <w:r w:rsidRPr="000017C5">
        <w:rPr>
          <w:b/>
          <w:lang w:val="bg-BG"/>
        </w:rPr>
        <w:t>.</w:t>
      </w:r>
      <w:r w:rsidRPr="00804D06">
        <w:rPr>
          <w:lang w:val="bg-BG"/>
        </w:rPr>
        <w:t xml:space="preserve"> (2015) </w:t>
      </w:r>
      <w:r w:rsidRPr="00804D06">
        <w:t>Geometric</w:t>
      </w:r>
      <w:r w:rsidRPr="00804D06">
        <w:rPr>
          <w:lang w:val="bg-BG"/>
        </w:rPr>
        <w:t xml:space="preserve"> </w:t>
      </w:r>
      <w:r w:rsidRPr="00804D06">
        <w:t>morphometry</w:t>
      </w:r>
      <w:r w:rsidRPr="00804D06">
        <w:rPr>
          <w:lang w:val="bg-BG"/>
        </w:rPr>
        <w:t xml:space="preserve"> </w:t>
      </w:r>
      <w:r w:rsidRPr="00804D06">
        <w:t>of</w:t>
      </w:r>
      <w:r w:rsidRPr="00804D06">
        <w:rPr>
          <w:lang w:val="bg-BG"/>
        </w:rPr>
        <w:t xml:space="preserve"> </w:t>
      </w:r>
      <w:r w:rsidRPr="00804D06">
        <w:rPr>
          <w:i/>
        </w:rPr>
        <w:t>Phytophthora</w:t>
      </w:r>
      <w:r w:rsidRPr="00804D06">
        <w:rPr>
          <w:i/>
          <w:lang w:val="bg-BG"/>
        </w:rPr>
        <w:t xml:space="preserve"> </w:t>
      </w:r>
      <w:r w:rsidRPr="00804D06">
        <w:rPr>
          <w:i/>
        </w:rPr>
        <w:t>plurivora</w:t>
      </w:r>
      <w:r w:rsidRPr="00804D06">
        <w:rPr>
          <w:lang w:val="bg-BG"/>
        </w:rPr>
        <w:t xml:space="preserve"> </w:t>
      </w:r>
      <w:r w:rsidRPr="00804D06">
        <w:t>sporangia</w:t>
      </w:r>
      <w:r w:rsidRPr="00804D06">
        <w:rPr>
          <w:lang w:val="bg-BG"/>
        </w:rPr>
        <w:t xml:space="preserve">. </w:t>
      </w:r>
      <w:r w:rsidRPr="00804D06">
        <w:t xml:space="preserve">Annals of Forest Research 58(2), 275–294. </w:t>
      </w:r>
      <w:r w:rsidRPr="00EC6DDE">
        <w:rPr>
          <w:b/>
        </w:rPr>
        <w:t>(</w:t>
      </w:r>
      <w:r w:rsidR="002008A5">
        <w:rPr>
          <w:b/>
        </w:rPr>
        <w:t>В4.</w:t>
      </w:r>
      <w:r w:rsidRPr="00EC6DDE">
        <w:rPr>
          <w:b/>
        </w:rPr>
        <w:t>3)</w:t>
      </w:r>
    </w:p>
    <w:p w:rsidR="00126B5D" w:rsidRPr="00804D06" w:rsidRDefault="00126B5D" w:rsidP="00D23BD9">
      <w:pPr>
        <w:pStyle w:val="NormalWeb"/>
        <w:spacing w:before="0" w:beforeAutospacing="0" w:after="0" w:afterAutospacing="0" w:line="276" w:lineRule="auto"/>
        <w:jc w:val="both"/>
      </w:pPr>
    </w:p>
    <w:p w:rsidR="00126B5D" w:rsidRPr="00804D06" w:rsidRDefault="00126B5D" w:rsidP="00D23BD9">
      <w:pPr>
        <w:pStyle w:val="NormalWeb"/>
        <w:spacing w:before="0" w:beforeAutospacing="0" w:after="0" w:afterAutospacing="0" w:line="276" w:lineRule="auto"/>
        <w:jc w:val="both"/>
      </w:pPr>
      <w:r w:rsidRPr="00804D06">
        <w:t xml:space="preserve">Geometric morphometry of </w:t>
      </w:r>
      <w:r w:rsidRPr="00804D06">
        <w:rPr>
          <w:i/>
        </w:rPr>
        <w:t>Phytophthora plurivora</w:t>
      </w:r>
      <w:r w:rsidRPr="00804D06">
        <w:t xml:space="preserve"> sporangia</w:t>
      </w:r>
    </w:p>
    <w:p w:rsidR="00126B5D" w:rsidRPr="00804D06" w:rsidRDefault="00126B5D" w:rsidP="00D23BD9">
      <w:pPr>
        <w:pStyle w:val="NormalWeb"/>
        <w:spacing w:before="0" w:beforeAutospacing="0" w:after="0" w:afterAutospacing="0" w:line="276" w:lineRule="auto"/>
        <w:jc w:val="both"/>
      </w:pPr>
    </w:p>
    <w:p w:rsidR="00126B5D" w:rsidRPr="00804D06" w:rsidRDefault="00126B5D" w:rsidP="00D23BD9">
      <w:pPr>
        <w:pStyle w:val="NormalWeb"/>
        <w:spacing w:before="0" w:beforeAutospacing="0" w:after="0" w:afterAutospacing="0" w:line="276" w:lineRule="auto"/>
        <w:jc w:val="both"/>
      </w:pPr>
      <w:r w:rsidRPr="00804D06">
        <w:t>Abstract</w:t>
      </w:r>
    </w:p>
    <w:p w:rsidR="00126B5D" w:rsidRPr="00804D06" w:rsidRDefault="00126B5D" w:rsidP="00D23BD9">
      <w:pPr>
        <w:pStyle w:val="NormalWeb"/>
        <w:spacing w:before="0" w:beforeAutospacing="0" w:after="0" w:afterAutospacing="0" w:line="276" w:lineRule="auto"/>
        <w:jc w:val="both"/>
      </w:pPr>
      <w:r w:rsidRPr="00804D06">
        <w:t xml:space="preserve">Eigenshape analysis and Relative Warp Analysis were employed in the study of the shape of highly variable sporangia of </w:t>
      </w:r>
      <w:r w:rsidRPr="00804D06">
        <w:rPr>
          <w:i/>
        </w:rPr>
        <w:t>Phytophthora plurivora</w:t>
      </w:r>
      <w:r w:rsidRPr="00804D06">
        <w:t xml:space="preserve">, a widespread oomycetous pathogen isolated from woody species, in several South-East European countries: Bulgaria, Greece, Serbia and Romania. The aim of the study was to estimate whether shape variables permitted the quantitative assessment of sporangial shape variability in </w:t>
      </w:r>
      <w:r w:rsidRPr="00804D06">
        <w:rPr>
          <w:i/>
        </w:rPr>
        <w:t>P. plurivora</w:t>
      </w:r>
      <w:r w:rsidRPr="00804D06">
        <w:t xml:space="preserve"> and also, the discrimination between species based solely on sporangial shape, </w:t>
      </w:r>
      <w:r w:rsidRPr="00804D06">
        <w:rPr>
          <w:i/>
        </w:rPr>
        <w:t>P. cactorum</w:t>
      </w:r>
      <w:r w:rsidRPr="00804D06">
        <w:t xml:space="preserve"> being selected for comparisons. Both Eigenshape and Relative Warp Analyses showed that the most variable sporangial areas were apical and basal regions. More than half of the shape variation was accounted for the first 2 ES axes (66.75%) and first two RW axes (61.74%). ESA performed better in terms of species shape ( </w:t>
      </w:r>
      <w:r w:rsidRPr="00804D06">
        <w:rPr>
          <w:i/>
        </w:rPr>
        <w:t>P. plurivora</w:t>
      </w:r>
      <w:r w:rsidRPr="00804D06">
        <w:t xml:space="preserve"> and </w:t>
      </w:r>
      <w:r w:rsidRPr="00804D06">
        <w:rPr>
          <w:i/>
        </w:rPr>
        <w:t>P. cactorum</w:t>
      </w:r>
      <w:r w:rsidRPr="00804D06">
        <w:t xml:space="preserve"> ) separation. Canonical Variate Analysis/MANOVA and Discriminant Analysis indicated the clear discrimination between species and between isolates of </w:t>
      </w:r>
      <w:r w:rsidRPr="00804D06">
        <w:rPr>
          <w:i/>
        </w:rPr>
        <w:t>P. plurivora</w:t>
      </w:r>
      <w:r w:rsidRPr="00804D06">
        <w:t>. Mean or consensus shape performed as the best shape descriptor of sporangia. High dimensional variation considered in terms of centroid size corroborated with shape variation spanning from symmetrical consensus shape to conspicuously asymmetric shapes.</w:t>
      </w:r>
    </w:p>
    <w:p w:rsidR="00126B5D" w:rsidRPr="00804D06" w:rsidRDefault="00126B5D" w:rsidP="00D23BD9">
      <w:pPr>
        <w:pStyle w:val="NormalWeb"/>
        <w:spacing w:before="0" w:beforeAutospacing="0" w:after="0" w:afterAutospacing="0" w:line="276" w:lineRule="auto"/>
        <w:jc w:val="both"/>
      </w:pPr>
    </w:p>
    <w:p w:rsidR="00126B5D" w:rsidRPr="00804D06" w:rsidRDefault="00126B5D" w:rsidP="00D23BD9">
      <w:pPr>
        <w:pStyle w:val="NormalWeb"/>
        <w:spacing w:before="0" w:beforeAutospacing="0" w:after="0" w:afterAutospacing="0" w:line="276" w:lineRule="auto"/>
        <w:jc w:val="both"/>
        <w:rPr>
          <w:lang w:val="bg-BG"/>
        </w:rPr>
      </w:pPr>
      <w:r w:rsidRPr="00804D06">
        <w:t xml:space="preserve">Геометрична морфометрия на спорангии от </w:t>
      </w:r>
      <w:r w:rsidRPr="00804D06">
        <w:rPr>
          <w:i/>
        </w:rPr>
        <w:t>Phytophthora plurivora</w:t>
      </w:r>
    </w:p>
    <w:p w:rsidR="00126B5D" w:rsidRPr="00804D06" w:rsidRDefault="00126B5D" w:rsidP="00D23BD9">
      <w:pPr>
        <w:pStyle w:val="NormalWeb"/>
        <w:spacing w:before="0" w:beforeAutospacing="0" w:after="0" w:afterAutospacing="0" w:line="276" w:lineRule="auto"/>
        <w:jc w:val="both"/>
        <w:rPr>
          <w:lang w:val="bg-BG"/>
        </w:rPr>
      </w:pPr>
    </w:p>
    <w:p w:rsidR="00126B5D" w:rsidRPr="00804D06" w:rsidRDefault="00126B5D" w:rsidP="00D23BD9">
      <w:pPr>
        <w:pStyle w:val="NormalWeb"/>
        <w:spacing w:before="0" w:beforeAutospacing="0" w:after="0" w:afterAutospacing="0" w:line="276" w:lineRule="auto"/>
        <w:jc w:val="both"/>
        <w:rPr>
          <w:lang w:val="bg-BG"/>
        </w:rPr>
      </w:pPr>
      <w:r w:rsidRPr="00804D06">
        <w:rPr>
          <w:lang w:val="bg-BG"/>
        </w:rPr>
        <w:t>Резюме</w:t>
      </w:r>
    </w:p>
    <w:p w:rsidR="00126B5D" w:rsidRPr="00804D06" w:rsidRDefault="00126B5D" w:rsidP="00D23BD9">
      <w:pPr>
        <w:pStyle w:val="NormalWeb"/>
        <w:spacing w:before="0" w:beforeAutospacing="0" w:after="0" w:afterAutospacing="0" w:line="276" w:lineRule="auto"/>
        <w:jc w:val="both"/>
        <w:rPr>
          <w:lang w:val="bg-BG"/>
        </w:rPr>
      </w:pPr>
      <w:r w:rsidRPr="00804D06">
        <w:rPr>
          <w:lang w:val="bg-BG"/>
        </w:rPr>
        <w:t xml:space="preserve">В изследването на формата на силно вариабилните спорангии на </w:t>
      </w:r>
      <w:r w:rsidRPr="00804D06">
        <w:rPr>
          <w:i/>
        </w:rPr>
        <w:t>Phytophthora</w:t>
      </w:r>
      <w:r w:rsidRPr="00804D06">
        <w:rPr>
          <w:i/>
          <w:lang w:val="bg-BG"/>
        </w:rPr>
        <w:t xml:space="preserve"> </w:t>
      </w:r>
      <w:r w:rsidRPr="00804D06">
        <w:rPr>
          <w:i/>
        </w:rPr>
        <w:t>plurivora</w:t>
      </w:r>
      <w:r w:rsidRPr="00804D06">
        <w:rPr>
          <w:lang w:val="bg-BG"/>
        </w:rPr>
        <w:t xml:space="preserve"> – широко разпространен оомицетен патоген, изолиран от дървесни видове в няколко югоизточноевропейски страни (България, Гърция, Сърбия и Румъния), са приложени „</w:t>
      </w:r>
      <w:r w:rsidRPr="00804D06">
        <w:t>Eigenshape</w:t>
      </w:r>
      <w:r w:rsidRPr="00804D06">
        <w:rPr>
          <w:lang w:val="bg-BG"/>
        </w:rPr>
        <w:t>“ анализ и анализ на относителните деформации (</w:t>
      </w:r>
      <w:r w:rsidRPr="00804D06">
        <w:t>Relative</w:t>
      </w:r>
      <w:r w:rsidRPr="00804D06">
        <w:rPr>
          <w:lang w:val="bg-BG"/>
        </w:rPr>
        <w:t xml:space="preserve"> </w:t>
      </w:r>
      <w:r w:rsidRPr="00804D06">
        <w:t>Warp</w:t>
      </w:r>
      <w:r w:rsidRPr="00804D06">
        <w:rPr>
          <w:lang w:val="bg-BG"/>
        </w:rPr>
        <w:t xml:space="preserve"> </w:t>
      </w:r>
      <w:r w:rsidRPr="00804D06">
        <w:t>Analysis</w:t>
      </w:r>
      <w:r w:rsidRPr="00804D06">
        <w:rPr>
          <w:lang w:val="bg-BG"/>
        </w:rPr>
        <w:t xml:space="preserve">). Целта на проучването е да се прецени дали променливите на формата позволяват количествена оценка на вариабилността на спорангиите при </w:t>
      </w:r>
      <w:r w:rsidRPr="00804D06">
        <w:rPr>
          <w:i/>
        </w:rPr>
        <w:t>P</w:t>
      </w:r>
      <w:r w:rsidRPr="00804D06">
        <w:rPr>
          <w:i/>
          <w:lang w:val="bg-BG"/>
        </w:rPr>
        <w:t xml:space="preserve">. </w:t>
      </w:r>
      <w:r w:rsidRPr="00804D06">
        <w:rPr>
          <w:i/>
        </w:rPr>
        <w:t>plurivora</w:t>
      </w:r>
      <w:r w:rsidRPr="00804D06">
        <w:rPr>
          <w:lang w:val="bg-BG"/>
        </w:rPr>
        <w:t xml:space="preserve">, както и разграничаването на видовете единствено въз основа на формата на спорангиите, като за сравнение е избран видът </w:t>
      </w:r>
      <w:r w:rsidRPr="00804D06">
        <w:rPr>
          <w:i/>
        </w:rPr>
        <w:t>P</w:t>
      </w:r>
      <w:r w:rsidRPr="00804D06">
        <w:rPr>
          <w:i/>
          <w:lang w:val="bg-BG"/>
        </w:rPr>
        <w:t xml:space="preserve">. </w:t>
      </w:r>
      <w:r w:rsidRPr="00804D06">
        <w:rPr>
          <w:i/>
        </w:rPr>
        <w:t>cactorum</w:t>
      </w:r>
      <w:r w:rsidRPr="00804D06">
        <w:rPr>
          <w:lang w:val="bg-BG"/>
        </w:rPr>
        <w:t>. И двата анализа (</w:t>
      </w:r>
      <w:r w:rsidRPr="00804D06">
        <w:t>Eigenshape</w:t>
      </w:r>
      <w:r w:rsidRPr="00804D06">
        <w:rPr>
          <w:lang w:val="bg-BG"/>
        </w:rPr>
        <w:t xml:space="preserve"> и </w:t>
      </w:r>
      <w:r w:rsidRPr="00804D06">
        <w:t>Relative</w:t>
      </w:r>
      <w:r w:rsidRPr="00804D06">
        <w:rPr>
          <w:lang w:val="bg-BG"/>
        </w:rPr>
        <w:t xml:space="preserve"> </w:t>
      </w:r>
      <w:r w:rsidRPr="00804D06">
        <w:t>Warp</w:t>
      </w:r>
      <w:r w:rsidRPr="00804D06">
        <w:rPr>
          <w:lang w:val="bg-BG"/>
        </w:rPr>
        <w:t xml:space="preserve">) показват, че най-вариабилните зони на спорангиите са апикалните (връхните) и базалните (основите) региони. Повече от половината от вариацията във формата се обяснява с първите две оси на </w:t>
      </w:r>
      <w:r w:rsidRPr="00804D06">
        <w:t>ES</w:t>
      </w:r>
      <w:r w:rsidRPr="00804D06">
        <w:rPr>
          <w:lang w:val="bg-BG"/>
        </w:rPr>
        <w:t xml:space="preserve"> (66,75%) и първите две оси на </w:t>
      </w:r>
      <w:r w:rsidRPr="00804D06">
        <w:t>RW</w:t>
      </w:r>
      <w:r w:rsidRPr="00804D06">
        <w:rPr>
          <w:lang w:val="bg-BG"/>
        </w:rPr>
        <w:t xml:space="preserve"> (61,74%). </w:t>
      </w:r>
      <w:r w:rsidRPr="00804D06">
        <w:t>ES</w:t>
      </w:r>
      <w:r w:rsidRPr="00804D06">
        <w:rPr>
          <w:lang w:val="bg-BG"/>
        </w:rPr>
        <w:t xml:space="preserve"> анализът се представи по-добре по отношение на разделянето на видовете (</w:t>
      </w:r>
      <w:r w:rsidRPr="00804D06">
        <w:rPr>
          <w:i/>
        </w:rPr>
        <w:t>P</w:t>
      </w:r>
      <w:r w:rsidRPr="00804D06">
        <w:rPr>
          <w:i/>
          <w:lang w:val="bg-BG"/>
        </w:rPr>
        <w:t xml:space="preserve">. </w:t>
      </w:r>
      <w:r w:rsidRPr="00804D06">
        <w:rPr>
          <w:i/>
        </w:rPr>
        <w:t>plurivora</w:t>
      </w:r>
      <w:r w:rsidRPr="00804D06">
        <w:rPr>
          <w:lang w:val="bg-BG"/>
        </w:rPr>
        <w:t xml:space="preserve"> и </w:t>
      </w:r>
      <w:r w:rsidRPr="00804D06">
        <w:rPr>
          <w:i/>
        </w:rPr>
        <w:t>P</w:t>
      </w:r>
      <w:r w:rsidRPr="00804D06">
        <w:rPr>
          <w:i/>
          <w:lang w:val="bg-BG"/>
        </w:rPr>
        <w:t xml:space="preserve">. </w:t>
      </w:r>
      <w:r w:rsidRPr="00804D06">
        <w:rPr>
          <w:i/>
        </w:rPr>
        <w:t>cactorum</w:t>
      </w:r>
      <w:r w:rsidRPr="00804D06">
        <w:rPr>
          <w:lang w:val="bg-BG"/>
        </w:rPr>
        <w:t>) според тяхната форма. Каноничният вариационен анализ (</w:t>
      </w:r>
      <w:r w:rsidRPr="00804D06">
        <w:t>CVA</w:t>
      </w:r>
      <w:r w:rsidRPr="00804D06">
        <w:rPr>
          <w:lang w:val="bg-BG"/>
        </w:rPr>
        <w:t>/</w:t>
      </w:r>
      <w:r w:rsidRPr="00804D06">
        <w:t>MANOVA</w:t>
      </w:r>
      <w:r w:rsidRPr="00804D06">
        <w:rPr>
          <w:lang w:val="bg-BG"/>
        </w:rPr>
        <w:t xml:space="preserve">) и дискриминантният анализ показват ясно разграничаване както между видовете, така и между отделните изолати на </w:t>
      </w:r>
      <w:r w:rsidRPr="00804D06">
        <w:rPr>
          <w:i/>
        </w:rPr>
        <w:t>P</w:t>
      </w:r>
      <w:r w:rsidRPr="00804D06">
        <w:rPr>
          <w:i/>
          <w:lang w:val="bg-BG"/>
        </w:rPr>
        <w:t xml:space="preserve">. </w:t>
      </w:r>
      <w:r w:rsidRPr="00804D06">
        <w:rPr>
          <w:i/>
        </w:rPr>
        <w:t>plurivora</w:t>
      </w:r>
      <w:r w:rsidRPr="00804D06">
        <w:rPr>
          <w:lang w:val="bg-BG"/>
        </w:rPr>
        <w:t>. Средната или консенсусна форма се утвърждава като най-добрия дескриптор на формата на спорангиите. Високоразмерната вариация, разгледана чрез размера на центроида, е съчетана с вариация във формата, варираща от симетрична консенсусна форма до ясно изразени асиметрични форми.</w:t>
      </w:r>
    </w:p>
    <w:p w:rsidR="00126B5D" w:rsidRDefault="00126B5D" w:rsidP="00D23BD9">
      <w:pPr>
        <w:jc w:val="both"/>
        <w:rPr>
          <w:lang w:val="bg-BG"/>
        </w:rPr>
      </w:pPr>
    </w:p>
    <w:p w:rsidR="00126B5D" w:rsidRPr="00804D06" w:rsidRDefault="00126B5D" w:rsidP="00D23BD9">
      <w:pPr>
        <w:pStyle w:val="NormalWeb"/>
        <w:numPr>
          <w:ilvl w:val="0"/>
          <w:numId w:val="1"/>
        </w:numPr>
        <w:spacing w:before="0" w:beforeAutospacing="0" w:after="0" w:afterAutospacing="0" w:line="276" w:lineRule="auto"/>
        <w:jc w:val="both"/>
      </w:pPr>
      <w:r w:rsidRPr="00994074">
        <w:rPr>
          <w:b/>
        </w:rPr>
        <w:t>Kostov, K.</w:t>
      </w:r>
      <w:r w:rsidRPr="00804D06">
        <w:t xml:space="preserve">, Verstappen, E., Bergervoet, J., de Weerdt, M., Schoen, C., Slavov, S., Bonants, P. (2016) Multiplex detection and identification of </w:t>
      </w:r>
      <w:r w:rsidRPr="00804D06">
        <w:rPr>
          <w:i/>
        </w:rPr>
        <w:t>Phytophthora spp</w:t>
      </w:r>
      <w:r w:rsidRPr="00804D06">
        <w:t xml:space="preserve">. using target‐specific primer extension and Luminex xTAG technology. Plant Pathology 65(6), 1008–1021. </w:t>
      </w:r>
      <w:r w:rsidRPr="002D537F">
        <w:rPr>
          <w:b/>
        </w:rPr>
        <w:t>(</w:t>
      </w:r>
      <w:r w:rsidR="002008A5">
        <w:rPr>
          <w:b/>
        </w:rPr>
        <w:t>В4.</w:t>
      </w:r>
      <w:r w:rsidRPr="002D537F">
        <w:rPr>
          <w:b/>
        </w:rPr>
        <w:t>4)</w:t>
      </w:r>
    </w:p>
    <w:p w:rsidR="00126B5D" w:rsidRPr="00804D06" w:rsidRDefault="00126B5D" w:rsidP="00D23BD9">
      <w:pPr>
        <w:pStyle w:val="NormalWeb"/>
        <w:spacing w:before="0" w:beforeAutospacing="0" w:after="0" w:afterAutospacing="0" w:line="276" w:lineRule="auto"/>
        <w:jc w:val="both"/>
      </w:pPr>
    </w:p>
    <w:p w:rsidR="00126B5D" w:rsidRPr="00804D06" w:rsidRDefault="00126B5D" w:rsidP="00D23BD9">
      <w:pPr>
        <w:pStyle w:val="NormalWeb"/>
        <w:spacing w:before="0" w:beforeAutospacing="0" w:after="0" w:afterAutospacing="0" w:line="276" w:lineRule="auto"/>
        <w:jc w:val="both"/>
      </w:pPr>
      <w:r w:rsidRPr="00804D06">
        <w:t xml:space="preserve">Multiplex detection and identification of </w:t>
      </w:r>
      <w:r w:rsidRPr="00804D06">
        <w:rPr>
          <w:i/>
        </w:rPr>
        <w:t>Phytophthora spp</w:t>
      </w:r>
      <w:r w:rsidRPr="00804D06">
        <w:t>. using target-specific primer extension and Luminex xTAG technology</w:t>
      </w:r>
    </w:p>
    <w:p w:rsidR="00126B5D" w:rsidRPr="00804D06" w:rsidRDefault="00126B5D" w:rsidP="00D23BD9">
      <w:pPr>
        <w:pStyle w:val="NormalWeb"/>
        <w:spacing w:before="0" w:beforeAutospacing="0" w:after="0" w:afterAutospacing="0" w:line="276" w:lineRule="auto"/>
        <w:jc w:val="both"/>
      </w:pPr>
    </w:p>
    <w:p w:rsidR="00126B5D" w:rsidRPr="00804D06" w:rsidRDefault="00126B5D" w:rsidP="00D23BD9">
      <w:pPr>
        <w:pStyle w:val="NormalWeb"/>
        <w:spacing w:before="0" w:beforeAutospacing="0" w:after="0" w:afterAutospacing="0" w:line="276" w:lineRule="auto"/>
        <w:jc w:val="both"/>
      </w:pPr>
      <w:r w:rsidRPr="00804D06">
        <w:t>Abstract</w:t>
      </w:r>
    </w:p>
    <w:p w:rsidR="00126B5D" w:rsidRPr="00804D06" w:rsidRDefault="00126B5D" w:rsidP="00D23BD9">
      <w:pPr>
        <w:pStyle w:val="NormalWeb"/>
        <w:spacing w:before="0" w:beforeAutospacing="0" w:after="0" w:afterAutospacing="0" w:line="276" w:lineRule="auto"/>
        <w:jc w:val="both"/>
      </w:pPr>
      <w:r w:rsidRPr="00804D06">
        <w:t xml:space="preserve">There are more than 100 species that belong to the fungus-like genus Phytophthora, many of which can cause severe damage to plants in both natural and agricultural ecosystems. The availability of techniques for detection and identification are crucial for monitoring and control of these pathogens. In recent years, new methods using molecular approaches have been developed. However, the majority of them are designed to detect single </w:t>
      </w:r>
      <w:r w:rsidRPr="00804D06">
        <w:rPr>
          <w:i/>
        </w:rPr>
        <w:t>Phytophthora species</w:t>
      </w:r>
      <w:r w:rsidRPr="00804D06">
        <w:t xml:space="preserve">. Techniques that are able to target multiple species in one sample would offer advantages, especially for the assessment of </w:t>
      </w:r>
      <w:r w:rsidRPr="00804D06">
        <w:rPr>
          <w:i/>
        </w:rPr>
        <w:t>Phytophthora diversity</w:t>
      </w:r>
      <w:r w:rsidRPr="00804D06">
        <w:t xml:space="preserve"> in the environment. This paper describes a multiplex assay for simultaneous detection and identification of 26 members of </w:t>
      </w:r>
      <w:r w:rsidRPr="00804D06">
        <w:rPr>
          <w:i/>
        </w:rPr>
        <w:t>Phytophthora down</w:t>
      </w:r>
      <w:r w:rsidRPr="00804D06">
        <w:t xml:space="preserve"> to species level and another 22 to clade or subclade level through target-specific primer extension (TSPE) and the Luminex xTAG array detection system. The assay starts with PCR amplification of two genomic regions, ITS and coxI, followed by a multiplex TSPE reaction with clade-, subclade- and species-specific probes. As a result, biotin-dCTP labelled products are generated and subsequently detected through hybridization with a set of anti-TAG coupled, colour-coded paramagnetic beads. The specificity of the method has been tested using DNA extracts from over 400 isolates representing 110 </w:t>
      </w:r>
      <w:r w:rsidRPr="00804D06">
        <w:rPr>
          <w:i/>
        </w:rPr>
        <w:t>Phytophthora species</w:t>
      </w:r>
      <w:r w:rsidRPr="00804D06">
        <w:t xml:space="preserve"> and subspecies. The sensitivity and robustness have been determined by the use of DNA mixtures, dilution series and environmental samples. Thus the developed technique allows simultaneous identification of multiple </w:t>
      </w:r>
      <w:r w:rsidRPr="00804D06">
        <w:rPr>
          <w:i/>
        </w:rPr>
        <w:t>Phytophthora species</w:t>
      </w:r>
      <w:r w:rsidRPr="00804D06">
        <w:t>, particularly useful for the detection of these pathogens in environmental samples such as soil, water and plant tissue.</w:t>
      </w:r>
    </w:p>
    <w:p w:rsidR="00126B5D" w:rsidRPr="00804D06" w:rsidRDefault="00126B5D" w:rsidP="00D23BD9">
      <w:pPr>
        <w:pStyle w:val="NormalWeb"/>
        <w:spacing w:before="0" w:beforeAutospacing="0" w:after="0" w:afterAutospacing="0" w:line="276" w:lineRule="auto"/>
        <w:jc w:val="both"/>
      </w:pPr>
    </w:p>
    <w:p w:rsidR="00126B5D" w:rsidRPr="00804D06" w:rsidRDefault="00126B5D" w:rsidP="00D23BD9">
      <w:pPr>
        <w:pStyle w:val="NormalWeb"/>
        <w:spacing w:before="0" w:beforeAutospacing="0" w:after="0" w:afterAutospacing="0" w:line="276" w:lineRule="auto"/>
        <w:jc w:val="both"/>
        <w:rPr>
          <w:lang w:val="bg-BG"/>
        </w:rPr>
      </w:pPr>
      <w:r w:rsidRPr="00804D06">
        <w:rPr>
          <w:lang w:val="bg-BG"/>
        </w:rPr>
        <w:t>Мултиплексно откри</w:t>
      </w:r>
      <w:r>
        <w:rPr>
          <w:lang w:val="bg-BG"/>
        </w:rPr>
        <w:t xml:space="preserve">ване и идентифициране на видове </w:t>
      </w:r>
      <w:r w:rsidRPr="00804D06">
        <w:rPr>
          <w:lang w:val="bg-BG"/>
        </w:rPr>
        <w:t>Phytophthora чрез специфично удължаване на праймери и технология Luminex xTAG.</w:t>
      </w:r>
    </w:p>
    <w:p w:rsidR="00126B5D" w:rsidRPr="00804D06" w:rsidRDefault="00126B5D" w:rsidP="00D23BD9">
      <w:pPr>
        <w:pStyle w:val="NormalWeb"/>
        <w:spacing w:before="0" w:beforeAutospacing="0" w:after="0" w:afterAutospacing="0" w:line="276" w:lineRule="auto"/>
        <w:jc w:val="both"/>
        <w:rPr>
          <w:lang w:val="bg-BG"/>
        </w:rPr>
      </w:pPr>
    </w:p>
    <w:p w:rsidR="00126B5D" w:rsidRPr="00804D06" w:rsidRDefault="00126B5D" w:rsidP="00D23BD9">
      <w:pPr>
        <w:pStyle w:val="NormalWeb"/>
        <w:spacing w:before="0" w:beforeAutospacing="0" w:after="0" w:afterAutospacing="0" w:line="276" w:lineRule="auto"/>
        <w:jc w:val="both"/>
        <w:rPr>
          <w:lang w:val="bg-BG"/>
        </w:rPr>
      </w:pPr>
      <w:r w:rsidRPr="00804D06">
        <w:rPr>
          <w:lang w:val="bg-BG"/>
        </w:rPr>
        <w:t>Резюме</w:t>
      </w:r>
    </w:p>
    <w:p w:rsidR="00126B5D" w:rsidRPr="00804D06" w:rsidRDefault="00126B5D" w:rsidP="00D23BD9">
      <w:pPr>
        <w:pStyle w:val="NormalWeb"/>
        <w:spacing w:before="0" w:beforeAutospacing="0" w:after="0" w:afterAutospacing="0" w:line="276" w:lineRule="auto"/>
        <w:jc w:val="both"/>
        <w:rPr>
          <w:lang w:val="bg-BG"/>
        </w:rPr>
      </w:pPr>
      <w:r w:rsidRPr="00804D06">
        <w:rPr>
          <w:lang w:val="bg-BG"/>
        </w:rPr>
        <w:t xml:space="preserve">Наподобяващите гъби организми от род Phytophthora, включват над 100 вида, много от които причиняват сериозни щети на растенията както в естествените, така и в земеделските екосистеми. Наличието на техники за откриване и идентифициране е от решаващо значение за мониторинга и контрола на тези патогени. През последните години бяха разработени нови методи, използващи молекулярни подходи. Повечето от тях обаче са предназначени за откриване на единични видове Phytophthora. Техниките, способни да откриват множество </w:t>
      </w:r>
      <w:r w:rsidRPr="00804D06">
        <w:rPr>
          <w:lang w:val="bg-BG"/>
        </w:rPr>
        <w:lastRenderedPageBreak/>
        <w:t xml:space="preserve">видове в една проба, биха имали редица предимства, особено за оценка на разнообразието на видовете Phytophthora в околната среда. Тази публикация описва мултиплексен метод за едновременно откриване и идентифициране на 26 представители на </w:t>
      </w:r>
      <w:r w:rsidRPr="000017C5">
        <w:rPr>
          <w:lang w:val="bg-BG"/>
        </w:rPr>
        <w:t>Phytophthora</w:t>
      </w:r>
      <w:r w:rsidRPr="00804D06">
        <w:rPr>
          <w:lang w:val="bg-BG"/>
        </w:rPr>
        <w:t xml:space="preserve"> до ниво вид и на други 22 до ниво клад или подклад чрез специфично за целта удължаване на праймери (TSPE) и системата за детекция Luminex xTAG. Анализът започва с PCR амплификация на два геномни региона, ITS и coxI, последвана от мултиплексна TSPE реакция със специфични за кладовете, подкладовете и видовете сонди. В резултат на това се генерират продукти, белязани с биотин-dCTP, които впоследствие се откриват чрез хибридизация с набор от анти-TAG свързани, цветно кодирани парамагнитни микросфери. Специфичността на метода е тествана с ДНК екстракти от над 400 изолата, представляващи 110 вида и подвида Phytophthora. Чувствителността и надеждността са определени чрез използване на ДНК смеси, серии от разреждания и проби от околната среда. Така разработената техника позволява едновременна идентификация на множество видове Phytophthora, което е особено полезно за откриването на тези патогени в проби от околната среда като почва, вода и растителна тъкан.</w:t>
      </w:r>
    </w:p>
    <w:p w:rsidR="00126B5D" w:rsidRDefault="00126B5D" w:rsidP="00D23BD9">
      <w:pPr>
        <w:jc w:val="both"/>
        <w:rPr>
          <w:lang w:val="bg-BG"/>
        </w:rPr>
      </w:pPr>
    </w:p>
    <w:p w:rsidR="00126B5D" w:rsidRPr="00804D06" w:rsidRDefault="00126B5D" w:rsidP="00D23BD9">
      <w:pPr>
        <w:pStyle w:val="NormalWeb"/>
        <w:numPr>
          <w:ilvl w:val="0"/>
          <w:numId w:val="1"/>
        </w:numPr>
        <w:spacing w:before="0" w:beforeAutospacing="0" w:after="0" w:afterAutospacing="0" w:line="276" w:lineRule="auto"/>
        <w:jc w:val="both"/>
      </w:pPr>
      <w:r w:rsidRPr="00804D06">
        <w:t xml:space="preserve">Lyubenova, A., Nowakowska, J., Sikora, </w:t>
      </w:r>
      <w:r w:rsidRPr="000017C5">
        <w:rPr>
          <w:b/>
        </w:rPr>
        <w:t>K., Kostov</w:t>
      </w:r>
      <w:r w:rsidRPr="00804D06">
        <w:t xml:space="preserve">, K., Borys, M., Slavov, S., Oszako, T. (2016) Pathogenicity of </w:t>
      </w:r>
      <w:r w:rsidRPr="00804D06">
        <w:rPr>
          <w:i/>
        </w:rPr>
        <w:t>Phytophthora isolates</w:t>
      </w:r>
      <w:r w:rsidRPr="00804D06">
        <w:t xml:space="preserve"> originating from several woody hosts in Bulgaria and Poland. Folia Forestalia Polonica 58(3), 105–115. </w:t>
      </w:r>
      <w:r w:rsidRPr="002D537F">
        <w:rPr>
          <w:b/>
        </w:rPr>
        <w:t>(</w:t>
      </w:r>
      <w:r w:rsidR="002008A5">
        <w:rPr>
          <w:b/>
        </w:rPr>
        <w:t>В4.</w:t>
      </w:r>
      <w:r w:rsidRPr="002D537F">
        <w:rPr>
          <w:b/>
        </w:rPr>
        <w:t>5)</w:t>
      </w:r>
    </w:p>
    <w:p w:rsidR="00126B5D" w:rsidRPr="00804D06" w:rsidRDefault="00126B5D" w:rsidP="00D23BD9">
      <w:pPr>
        <w:pStyle w:val="NormalWeb"/>
        <w:spacing w:before="0" w:beforeAutospacing="0" w:after="0" w:afterAutospacing="0" w:line="276" w:lineRule="auto"/>
        <w:jc w:val="both"/>
      </w:pPr>
    </w:p>
    <w:p w:rsidR="00126B5D" w:rsidRPr="00804D06" w:rsidRDefault="00126B5D" w:rsidP="00D23BD9">
      <w:pPr>
        <w:pStyle w:val="NormalWeb"/>
        <w:spacing w:before="0" w:beforeAutospacing="0" w:after="0" w:afterAutospacing="0" w:line="276" w:lineRule="auto"/>
        <w:jc w:val="both"/>
      </w:pPr>
      <w:r w:rsidRPr="00804D06">
        <w:t xml:space="preserve">Pathogenicity of </w:t>
      </w:r>
      <w:r w:rsidRPr="00804D06">
        <w:rPr>
          <w:i/>
        </w:rPr>
        <w:t>Phytophthora isolates</w:t>
      </w:r>
      <w:r w:rsidRPr="00804D06">
        <w:t xml:space="preserve"> originating from several woody hosts in Bulgaria and Poland</w:t>
      </w:r>
    </w:p>
    <w:p w:rsidR="00126B5D" w:rsidRPr="00804D06" w:rsidRDefault="00126B5D" w:rsidP="00D23BD9">
      <w:pPr>
        <w:pStyle w:val="NormalWeb"/>
        <w:spacing w:before="0" w:beforeAutospacing="0" w:after="0" w:afterAutospacing="0" w:line="276" w:lineRule="auto"/>
        <w:jc w:val="both"/>
      </w:pPr>
    </w:p>
    <w:p w:rsidR="00126B5D" w:rsidRPr="00804D06" w:rsidRDefault="00126B5D" w:rsidP="00D23BD9">
      <w:pPr>
        <w:pStyle w:val="NormalWeb"/>
        <w:spacing w:before="0" w:beforeAutospacing="0" w:after="0" w:afterAutospacing="0" w:line="276" w:lineRule="auto"/>
        <w:jc w:val="both"/>
      </w:pPr>
      <w:r w:rsidRPr="00804D06">
        <w:t>Abstract</w:t>
      </w:r>
    </w:p>
    <w:p w:rsidR="00126B5D" w:rsidRPr="00804D06" w:rsidRDefault="00126B5D" w:rsidP="00D23BD9">
      <w:pPr>
        <w:pStyle w:val="NormalWeb"/>
        <w:spacing w:before="0" w:beforeAutospacing="0" w:after="0" w:afterAutospacing="0" w:line="276" w:lineRule="auto"/>
        <w:jc w:val="both"/>
      </w:pPr>
      <w:r w:rsidRPr="00804D06">
        <w:t xml:space="preserve">Our aim was to examine the virulence of eight </w:t>
      </w:r>
      <w:r w:rsidRPr="00804D06">
        <w:rPr>
          <w:i/>
        </w:rPr>
        <w:t>Phytophthora isolates</w:t>
      </w:r>
      <w:r w:rsidRPr="00804D06">
        <w:t xml:space="preserve"> belonging to three species (</w:t>
      </w:r>
      <w:r w:rsidRPr="00804D06">
        <w:rPr>
          <w:i/>
        </w:rPr>
        <w:t>Phytophthora cryptogea</w:t>
      </w:r>
      <w:r w:rsidRPr="00804D06">
        <w:t xml:space="preserve">, </w:t>
      </w:r>
      <w:r w:rsidRPr="00804D06">
        <w:rPr>
          <w:i/>
        </w:rPr>
        <w:t>Phytophthora plurivora</w:t>
      </w:r>
      <w:r w:rsidRPr="00804D06">
        <w:t xml:space="preserve"> and </w:t>
      </w:r>
      <w:r w:rsidRPr="00804D06">
        <w:rPr>
          <w:i/>
        </w:rPr>
        <w:t>Phytophthora quercina</w:t>
      </w:r>
      <w:r w:rsidRPr="00804D06">
        <w:t>) obtained from diverse European ecosystems (in Bulgaria, Poland and Germany) towards three forest tree hosts – English oak (</w:t>
      </w:r>
      <w:r w:rsidRPr="004C62F1">
        <w:rPr>
          <w:i/>
        </w:rPr>
        <w:t>Quercus robur</w:t>
      </w:r>
      <w:r w:rsidRPr="00804D06">
        <w:t xml:space="preserve"> L.), Turkey oak (</w:t>
      </w:r>
      <w:r w:rsidRPr="004C62F1">
        <w:rPr>
          <w:i/>
        </w:rPr>
        <w:t>Quercus cerris</w:t>
      </w:r>
      <w:r w:rsidRPr="00804D06">
        <w:t xml:space="preserve"> L.) and European beech (</w:t>
      </w:r>
      <w:r w:rsidRPr="004C62F1">
        <w:rPr>
          <w:i/>
        </w:rPr>
        <w:t xml:space="preserve">Fagus sylvatica </w:t>
      </w:r>
      <w:r w:rsidRPr="00804D06">
        <w:t xml:space="preserve">L.). </w:t>
      </w:r>
    </w:p>
    <w:p w:rsidR="00126B5D" w:rsidRPr="00804D06" w:rsidRDefault="00126B5D" w:rsidP="00D23BD9">
      <w:pPr>
        <w:pStyle w:val="NormalWeb"/>
        <w:spacing w:before="0" w:beforeAutospacing="0" w:after="0" w:afterAutospacing="0" w:line="276" w:lineRule="auto"/>
        <w:jc w:val="both"/>
      </w:pPr>
      <w:r w:rsidRPr="00804D06">
        <w:t xml:space="preserve">All plants grown from seeds in a greenhouse conditions were artificially inoculated under the stem bark with </w:t>
      </w:r>
      <w:r w:rsidRPr="00804D06">
        <w:rPr>
          <w:i/>
        </w:rPr>
        <w:t>Phytophthora cultures</w:t>
      </w:r>
      <w:r w:rsidRPr="00804D06">
        <w:t xml:space="preserve">. The tested isolates turned to be more aggressive to Turkey oaks than to English oak trees. In case of European beech, the isolates of </w:t>
      </w:r>
      <w:r w:rsidRPr="00804D06">
        <w:rPr>
          <w:i/>
        </w:rPr>
        <w:t>P. cryptogea</w:t>
      </w:r>
      <w:r w:rsidRPr="00804D06">
        <w:t xml:space="preserve"> and </w:t>
      </w:r>
      <w:r w:rsidRPr="00804D06">
        <w:rPr>
          <w:i/>
        </w:rPr>
        <w:t>P. plurivora</w:t>
      </w:r>
      <w:r w:rsidRPr="00804D06">
        <w:t xml:space="preserve"> exposed various virulence. The potential hazard of the introduced foreign isolates for the oak and beech forests in Poland and Bulgaria is discussed. Amongst the tested isolates, </w:t>
      </w:r>
      <w:r w:rsidRPr="00804D06">
        <w:rPr>
          <w:i/>
        </w:rPr>
        <w:t>P. quercina</w:t>
      </w:r>
      <w:r w:rsidRPr="00804D06">
        <w:t xml:space="preserve"> P290 from German highly infected Bulgarian Turkey oaks; therefore, its negative potential impact on Bulgarian oak forests could be considered as high (if unintentionally introduced). Also, two Bulgarian isolates belonging to </w:t>
      </w:r>
      <w:r w:rsidRPr="00804D06">
        <w:rPr>
          <w:i/>
        </w:rPr>
        <w:t>P. cryptogea</w:t>
      </w:r>
      <w:r w:rsidRPr="00804D06">
        <w:t xml:space="preserve"> and </w:t>
      </w:r>
      <w:r w:rsidRPr="00804D06">
        <w:rPr>
          <w:i/>
        </w:rPr>
        <w:t>P. plurivora</w:t>
      </w:r>
      <w:r w:rsidRPr="00804D06">
        <w:t xml:space="preserve"> are risky for Polish beech forests, if exposed to the pathogen. The observed pathogenicity of the tested </w:t>
      </w:r>
      <w:r w:rsidRPr="00804D06">
        <w:rPr>
          <w:i/>
        </w:rPr>
        <w:t>Phytophthora species</w:t>
      </w:r>
      <w:r w:rsidRPr="00804D06">
        <w:t xml:space="preserve"> proved their potential as important contributors to decline of valuable forest ecosystems dominated by oaks (</w:t>
      </w:r>
      <w:r w:rsidRPr="004C62F1">
        <w:rPr>
          <w:i/>
        </w:rPr>
        <w:t>Q. robur</w:t>
      </w:r>
      <w:r w:rsidRPr="00804D06">
        <w:t xml:space="preserve"> and </w:t>
      </w:r>
      <w:r w:rsidRPr="004C62F1">
        <w:rPr>
          <w:i/>
        </w:rPr>
        <w:t>Q. cerris</w:t>
      </w:r>
      <w:r w:rsidRPr="00804D06">
        <w:t>) or beech (</w:t>
      </w:r>
      <w:r w:rsidRPr="00804D06">
        <w:rPr>
          <w:i/>
        </w:rPr>
        <w:t>F. sylvatica</w:t>
      </w:r>
      <w:r w:rsidRPr="00804D06">
        <w:t xml:space="preserve">), in both Poland and Bulgaria. We found that </w:t>
      </w:r>
      <w:r w:rsidRPr="00804D06">
        <w:lastRenderedPageBreak/>
        <w:t xml:space="preserve">investigated </w:t>
      </w:r>
      <w:r w:rsidRPr="00804D06">
        <w:rPr>
          <w:i/>
        </w:rPr>
        <w:t>Phytophthora pathogens</w:t>
      </w:r>
      <w:r w:rsidRPr="00804D06">
        <w:t xml:space="preserve"> could develop in the living plant stem tissues without causing any disease symptoms, which is another demonstration that phytosanitary control by simple observation of plant material is not effective.</w:t>
      </w:r>
    </w:p>
    <w:p w:rsidR="00126B5D" w:rsidRPr="00804D06" w:rsidRDefault="00126B5D" w:rsidP="00D23BD9">
      <w:pPr>
        <w:pStyle w:val="NormalWeb"/>
        <w:spacing w:before="0" w:beforeAutospacing="0" w:after="0" w:afterAutospacing="0" w:line="276" w:lineRule="auto"/>
        <w:jc w:val="both"/>
      </w:pPr>
    </w:p>
    <w:p w:rsidR="00126B5D" w:rsidRPr="00804D06" w:rsidRDefault="00126B5D" w:rsidP="00D23BD9">
      <w:pPr>
        <w:pStyle w:val="NormalWeb"/>
        <w:spacing w:before="0" w:beforeAutospacing="0" w:after="0" w:afterAutospacing="0" w:line="276" w:lineRule="auto"/>
        <w:jc w:val="both"/>
        <w:rPr>
          <w:lang w:val="bg-BG"/>
        </w:rPr>
      </w:pPr>
      <w:r w:rsidRPr="00804D06">
        <w:rPr>
          <w:lang w:val="bg-BG"/>
        </w:rPr>
        <w:t>Патогенност на изолати от род Phytophthora, произхождащи от няколко дървесни гостоприемници в България и Полша</w:t>
      </w:r>
    </w:p>
    <w:p w:rsidR="00126B5D" w:rsidRPr="00804D06" w:rsidRDefault="00126B5D" w:rsidP="00D23BD9">
      <w:pPr>
        <w:pStyle w:val="NormalWeb"/>
        <w:spacing w:before="0" w:beforeAutospacing="0" w:after="0" w:afterAutospacing="0" w:line="276" w:lineRule="auto"/>
        <w:jc w:val="both"/>
        <w:rPr>
          <w:lang w:val="bg-BG"/>
        </w:rPr>
      </w:pPr>
    </w:p>
    <w:p w:rsidR="00126B5D" w:rsidRPr="00804D06" w:rsidRDefault="00126B5D" w:rsidP="00D23BD9">
      <w:pPr>
        <w:pStyle w:val="NormalWeb"/>
        <w:spacing w:before="0" w:beforeAutospacing="0" w:after="0" w:afterAutospacing="0" w:line="276" w:lineRule="auto"/>
        <w:jc w:val="both"/>
        <w:rPr>
          <w:lang w:val="bg-BG"/>
        </w:rPr>
      </w:pPr>
      <w:r w:rsidRPr="00804D06">
        <w:rPr>
          <w:lang w:val="bg-BG"/>
        </w:rPr>
        <w:t>Резюме</w:t>
      </w:r>
    </w:p>
    <w:p w:rsidR="00126B5D" w:rsidRPr="00804D06" w:rsidRDefault="00126B5D" w:rsidP="00D23BD9">
      <w:pPr>
        <w:pStyle w:val="NormalWeb"/>
        <w:spacing w:before="0" w:beforeAutospacing="0" w:after="0" w:afterAutospacing="0" w:line="276" w:lineRule="auto"/>
        <w:jc w:val="both"/>
        <w:rPr>
          <w:lang w:val="bg-BG"/>
        </w:rPr>
      </w:pPr>
      <w:r w:rsidRPr="00804D06">
        <w:rPr>
          <w:lang w:val="bg-BG"/>
        </w:rPr>
        <w:t xml:space="preserve">Нашата цел тук е да изследваме вирулентността на осем изолата на </w:t>
      </w:r>
      <w:r w:rsidRPr="00804D06">
        <w:t>Phytophthora</w:t>
      </w:r>
      <w:r w:rsidRPr="00804D06">
        <w:rPr>
          <w:lang w:val="bg-BG"/>
        </w:rPr>
        <w:t>, принадлежащи към три вида (</w:t>
      </w:r>
      <w:r w:rsidRPr="00804D06">
        <w:rPr>
          <w:i/>
        </w:rPr>
        <w:t>Phytophthora</w:t>
      </w:r>
      <w:r w:rsidRPr="00804D06">
        <w:rPr>
          <w:i/>
          <w:lang w:val="bg-BG"/>
        </w:rPr>
        <w:t xml:space="preserve"> </w:t>
      </w:r>
      <w:r w:rsidRPr="00804D06">
        <w:rPr>
          <w:i/>
        </w:rPr>
        <w:t>cryptogea</w:t>
      </w:r>
      <w:r w:rsidRPr="00804D06">
        <w:rPr>
          <w:lang w:val="bg-BG"/>
        </w:rPr>
        <w:t xml:space="preserve">, </w:t>
      </w:r>
      <w:r w:rsidRPr="00804D06">
        <w:rPr>
          <w:i/>
        </w:rPr>
        <w:t>Phytophthora</w:t>
      </w:r>
      <w:r w:rsidRPr="00804D06">
        <w:rPr>
          <w:i/>
          <w:lang w:val="bg-BG"/>
        </w:rPr>
        <w:t xml:space="preserve"> </w:t>
      </w:r>
      <w:r w:rsidRPr="00804D06">
        <w:rPr>
          <w:i/>
        </w:rPr>
        <w:t>plurivora</w:t>
      </w:r>
      <w:r w:rsidRPr="00804D06">
        <w:rPr>
          <w:lang w:val="bg-BG"/>
        </w:rPr>
        <w:t xml:space="preserve"> и </w:t>
      </w:r>
      <w:r w:rsidRPr="00804D06">
        <w:rPr>
          <w:i/>
        </w:rPr>
        <w:t>Phytophthora</w:t>
      </w:r>
      <w:r w:rsidRPr="00804D06">
        <w:rPr>
          <w:i/>
          <w:lang w:val="bg-BG"/>
        </w:rPr>
        <w:t xml:space="preserve"> </w:t>
      </w:r>
      <w:r w:rsidRPr="00804D06">
        <w:rPr>
          <w:i/>
        </w:rPr>
        <w:t>quercina</w:t>
      </w:r>
      <w:r w:rsidRPr="00804D06">
        <w:rPr>
          <w:lang w:val="bg-BG"/>
        </w:rPr>
        <w:t>), получени от различни екосистеми в Европа (в България, Полша и Германия), към три горски дървесни гостоприемници – обикновен дъб (</w:t>
      </w:r>
      <w:r w:rsidRPr="004C62F1">
        <w:rPr>
          <w:i/>
        </w:rPr>
        <w:t>Quercus</w:t>
      </w:r>
      <w:r w:rsidRPr="004C62F1">
        <w:rPr>
          <w:i/>
          <w:lang w:val="bg-BG"/>
        </w:rPr>
        <w:t xml:space="preserve"> </w:t>
      </w:r>
      <w:r w:rsidRPr="004C62F1">
        <w:rPr>
          <w:i/>
        </w:rPr>
        <w:t>robur</w:t>
      </w:r>
      <w:r w:rsidRPr="00804D06">
        <w:rPr>
          <w:lang w:val="bg-BG"/>
        </w:rPr>
        <w:t xml:space="preserve"> </w:t>
      </w:r>
      <w:r w:rsidRPr="00804D06">
        <w:t>L</w:t>
      </w:r>
      <w:r w:rsidRPr="00804D06">
        <w:rPr>
          <w:lang w:val="bg-BG"/>
        </w:rPr>
        <w:t>.), цер (</w:t>
      </w:r>
      <w:r w:rsidRPr="004C62F1">
        <w:rPr>
          <w:i/>
        </w:rPr>
        <w:t>Quercus</w:t>
      </w:r>
      <w:r w:rsidRPr="004C62F1">
        <w:rPr>
          <w:i/>
          <w:lang w:val="bg-BG"/>
        </w:rPr>
        <w:t xml:space="preserve"> </w:t>
      </w:r>
      <w:r w:rsidRPr="004C62F1">
        <w:rPr>
          <w:i/>
        </w:rPr>
        <w:t>cerris</w:t>
      </w:r>
      <w:r w:rsidRPr="004C62F1">
        <w:rPr>
          <w:i/>
          <w:lang w:val="bg-BG"/>
        </w:rPr>
        <w:t xml:space="preserve"> </w:t>
      </w:r>
      <w:r w:rsidRPr="00804D06">
        <w:t>L</w:t>
      </w:r>
      <w:r w:rsidRPr="00804D06">
        <w:rPr>
          <w:lang w:val="bg-BG"/>
        </w:rPr>
        <w:t>.) и обикновен бук (</w:t>
      </w:r>
      <w:r w:rsidRPr="004C62F1">
        <w:rPr>
          <w:i/>
        </w:rPr>
        <w:t>Fagus</w:t>
      </w:r>
      <w:r w:rsidRPr="004C62F1">
        <w:rPr>
          <w:i/>
          <w:lang w:val="bg-BG"/>
        </w:rPr>
        <w:t xml:space="preserve"> </w:t>
      </w:r>
      <w:r w:rsidRPr="004C62F1">
        <w:rPr>
          <w:i/>
        </w:rPr>
        <w:t>sylvatica</w:t>
      </w:r>
      <w:r w:rsidRPr="00804D06">
        <w:rPr>
          <w:lang w:val="bg-BG"/>
        </w:rPr>
        <w:t xml:space="preserve"> </w:t>
      </w:r>
      <w:r w:rsidRPr="00804D06">
        <w:t>L</w:t>
      </w:r>
      <w:r w:rsidRPr="00804D06">
        <w:rPr>
          <w:lang w:val="bg-BG"/>
        </w:rPr>
        <w:t xml:space="preserve">.). Растения, отгледани от семена в оранжерийни условия, бяха изкуствено инокулирани под кората на стъблото с различни изолати на </w:t>
      </w:r>
      <w:r w:rsidRPr="00804D06">
        <w:t>Phytophthora</w:t>
      </w:r>
      <w:r w:rsidRPr="00804D06">
        <w:rPr>
          <w:lang w:val="bg-BG"/>
        </w:rPr>
        <w:t xml:space="preserve">. Тестираните изолати се оказаха по-агресивни към цера, отколкото към обикновения дъб. В случая с обикновения бук, изолатите на </w:t>
      </w:r>
      <w:r w:rsidRPr="00804D06">
        <w:rPr>
          <w:i/>
        </w:rPr>
        <w:t>P</w:t>
      </w:r>
      <w:r w:rsidRPr="00804D06">
        <w:rPr>
          <w:i/>
          <w:lang w:val="bg-BG"/>
        </w:rPr>
        <w:t xml:space="preserve">. </w:t>
      </w:r>
      <w:r w:rsidRPr="00804D06">
        <w:rPr>
          <w:i/>
        </w:rPr>
        <w:t>cryptogea</w:t>
      </w:r>
      <w:r w:rsidRPr="00804D06">
        <w:rPr>
          <w:lang w:val="bg-BG"/>
        </w:rPr>
        <w:t xml:space="preserve"> и </w:t>
      </w:r>
      <w:r w:rsidRPr="00804D06">
        <w:rPr>
          <w:i/>
        </w:rPr>
        <w:t>P</w:t>
      </w:r>
      <w:r w:rsidRPr="00804D06">
        <w:rPr>
          <w:i/>
          <w:lang w:val="bg-BG"/>
        </w:rPr>
        <w:t xml:space="preserve">. </w:t>
      </w:r>
      <w:r w:rsidRPr="00804D06">
        <w:rPr>
          <w:i/>
        </w:rPr>
        <w:t>plurivora</w:t>
      </w:r>
      <w:r w:rsidRPr="00804D06">
        <w:rPr>
          <w:lang w:val="bg-BG"/>
        </w:rPr>
        <w:t xml:space="preserve"> показаха различна вирулентност. Дискутирана е потенциалната опасност от интродуцирани чужди изолати за дъбовите и буковите гори в Полша и България. Сред тестваните изолати, </w:t>
      </w:r>
      <w:r w:rsidRPr="00804D06">
        <w:rPr>
          <w:i/>
        </w:rPr>
        <w:t>P</w:t>
      </w:r>
      <w:r w:rsidRPr="00804D06">
        <w:rPr>
          <w:i/>
          <w:lang w:val="bg-BG"/>
        </w:rPr>
        <w:t xml:space="preserve">. </w:t>
      </w:r>
      <w:r w:rsidRPr="00804D06">
        <w:rPr>
          <w:i/>
        </w:rPr>
        <w:t>quercina</w:t>
      </w:r>
      <w:r w:rsidRPr="00804D06">
        <w:rPr>
          <w:lang w:val="bg-BG"/>
        </w:rPr>
        <w:t xml:space="preserve"> </w:t>
      </w:r>
      <w:r w:rsidRPr="00804D06">
        <w:t>P</w:t>
      </w:r>
      <w:r w:rsidRPr="00804D06">
        <w:rPr>
          <w:lang w:val="bg-BG"/>
        </w:rPr>
        <w:t xml:space="preserve">290 от Германия най-силно заразява церът, следователно има потенциал (ако е внесен неволно) да окаже отрицателно въздействие върху българските церови гори. Също така риск за буковите гори в Полша представляват два български изолата принадлежащи към видовете </w:t>
      </w:r>
      <w:r w:rsidRPr="00804D06">
        <w:rPr>
          <w:i/>
        </w:rPr>
        <w:t>P</w:t>
      </w:r>
      <w:r w:rsidRPr="00804D06">
        <w:rPr>
          <w:i/>
          <w:lang w:val="bg-BG"/>
        </w:rPr>
        <w:t xml:space="preserve">. </w:t>
      </w:r>
      <w:r w:rsidRPr="00804D06">
        <w:rPr>
          <w:i/>
        </w:rPr>
        <w:t>cryptogea</w:t>
      </w:r>
      <w:r w:rsidRPr="00804D06">
        <w:rPr>
          <w:lang w:val="bg-BG"/>
        </w:rPr>
        <w:t xml:space="preserve"> и </w:t>
      </w:r>
      <w:r w:rsidRPr="00804D06">
        <w:rPr>
          <w:i/>
        </w:rPr>
        <w:t>P</w:t>
      </w:r>
      <w:r w:rsidRPr="00804D06">
        <w:rPr>
          <w:i/>
          <w:lang w:val="bg-BG"/>
        </w:rPr>
        <w:t xml:space="preserve">. </w:t>
      </w:r>
      <w:r w:rsidRPr="00804D06">
        <w:rPr>
          <w:i/>
        </w:rPr>
        <w:t>plurivora</w:t>
      </w:r>
      <w:r w:rsidRPr="00804D06">
        <w:rPr>
          <w:lang w:val="bg-BG"/>
        </w:rPr>
        <w:t xml:space="preserve">, в случай на интродукция на тези патогени. Наблюдаваната патогенност на тестираните видове </w:t>
      </w:r>
      <w:r w:rsidRPr="00804D06">
        <w:t>Phytophthora</w:t>
      </w:r>
      <w:r w:rsidRPr="00804D06">
        <w:rPr>
          <w:lang w:val="bg-BG"/>
        </w:rPr>
        <w:t xml:space="preserve"> доказа техния потенциал да участват във факторите при намаляването на размера на някой ценни горски екосистеми, доминирани от дъбове (</w:t>
      </w:r>
      <w:r w:rsidRPr="00E00F8D">
        <w:rPr>
          <w:i/>
        </w:rPr>
        <w:t>Q</w:t>
      </w:r>
      <w:r w:rsidRPr="00E00F8D">
        <w:rPr>
          <w:i/>
          <w:lang w:val="bg-BG"/>
        </w:rPr>
        <w:t xml:space="preserve">. </w:t>
      </w:r>
      <w:r w:rsidRPr="00E00F8D">
        <w:rPr>
          <w:i/>
        </w:rPr>
        <w:t>robur</w:t>
      </w:r>
      <w:r w:rsidRPr="00804D06">
        <w:rPr>
          <w:lang w:val="bg-BG"/>
        </w:rPr>
        <w:t xml:space="preserve"> и </w:t>
      </w:r>
      <w:r w:rsidRPr="00E00F8D">
        <w:rPr>
          <w:i/>
        </w:rPr>
        <w:t>Q</w:t>
      </w:r>
      <w:r w:rsidRPr="00E00F8D">
        <w:rPr>
          <w:i/>
          <w:lang w:val="bg-BG"/>
        </w:rPr>
        <w:t xml:space="preserve">. </w:t>
      </w:r>
      <w:r w:rsidRPr="00E00F8D">
        <w:rPr>
          <w:i/>
        </w:rPr>
        <w:t>cerris</w:t>
      </w:r>
      <w:r w:rsidRPr="00804D06">
        <w:rPr>
          <w:lang w:val="bg-BG"/>
        </w:rPr>
        <w:t>) или бук (</w:t>
      </w:r>
      <w:r w:rsidRPr="00804D06">
        <w:rPr>
          <w:i/>
        </w:rPr>
        <w:t>F</w:t>
      </w:r>
      <w:r w:rsidRPr="00804D06">
        <w:rPr>
          <w:i/>
          <w:lang w:val="bg-BG"/>
        </w:rPr>
        <w:t xml:space="preserve">. </w:t>
      </w:r>
      <w:r w:rsidRPr="00804D06">
        <w:rPr>
          <w:i/>
        </w:rPr>
        <w:t>sylvatica</w:t>
      </w:r>
      <w:r w:rsidRPr="00804D06">
        <w:rPr>
          <w:lang w:val="bg-BG"/>
        </w:rPr>
        <w:t xml:space="preserve">), както в Полша, така и в България. Установихме, че изследваните патогени от род </w:t>
      </w:r>
      <w:r w:rsidRPr="00804D06">
        <w:t>Phytophthora</w:t>
      </w:r>
      <w:r w:rsidRPr="00804D06">
        <w:rPr>
          <w:lang w:val="bg-BG"/>
        </w:rPr>
        <w:t xml:space="preserve"> могат да се развиват в живи, растителни тъкани на стъблата, без да причиняват никакви симптоми на заболяване, което е още едно доказателство, че фитосанитарният контрол разчитащ просто на наблюдение на растителния материал не е достатъчно ефективен.</w:t>
      </w:r>
    </w:p>
    <w:p w:rsidR="00126B5D" w:rsidRDefault="00126B5D" w:rsidP="00D23BD9">
      <w:pPr>
        <w:jc w:val="both"/>
        <w:rPr>
          <w:lang w:val="bg-BG"/>
        </w:rPr>
      </w:pPr>
    </w:p>
    <w:p w:rsidR="00126B5D" w:rsidRPr="00804D06" w:rsidRDefault="00126B5D" w:rsidP="00D23BD9">
      <w:pPr>
        <w:pStyle w:val="NormalWeb"/>
        <w:numPr>
          <w:ilvl w:val="0"/>
          <w:numId w:val="1"/>
        </w:numPr>
        <w:spacing w:before="0" w:beforeAutospacing="0" w:after="0" w:afterAutospacing="0" w:line="276" w:lineRule="auto"/>
        <w:jc w:val="both"/>
      </w:pPr>
      <w:r w:rsidRPr="00804D06">
        <w:t xml:space="preserve">Menozzi, D., </w:t>
      </w:r>
      <w:r w:rsidRPr="00804D06">
        <w:rPr>
          <w:b/>
        </w:rPr>
        <w:t>Kostov, K.</w:t>
      </w:r>
      <w:r w:rsidRPr="00804D06">
        <w:t xml:space="preserve">, Sogari, G., Arpaia, S., Moyankova, D., Mora, C. (2017) A stakeholder engagement approach for identifying future research directions in the evaluation of current and emerging applications of GMOs. Bio-based and Applied Economics 6(1), 57–79. </w:t>
      </w:r>
      <w:r w:rsidRPr="002D537F">
        <w:rPr>
          <w:b/>
        </w:rPr>
        <w:t>(</w:t>
      </w:r>
      <w:r w:rsidR="002008A5">
        <w:rPr>
          <w:b/>
        </w:rPr>
        <w:t>В4.</w:t>
      </w:r>
      <w:r w:rsidRPr="002D537F">
        <w:rPr>
          <w:b/>
        </w:rPr>
        <w:t>6)</w:t>
      </w:r>
    </w:p>
    <w:p w:rsidR="00126B5D" w:rsidRPr="00804D06" w:rsidRDefault="00126B5D" w:rsidP="00D23BD9">
      <w:pPr>
        <w:pStyle w:val="NormalWeb"/>
        <w:spacing w:before="0" w:beforeAutospacing="0" w:after="0" w:afterAutospacing="0" w:line="276" w:lineRule="auto"/>
        <w:jc w:val="both"/>
      </w:pPr>
    </w:p>
    <w:p w:rsidR="00126B5D" w:rsidRPr="00804D06" w:rsidRDefault="00126B5D" w:rsidP="00D23BD9">
      <w:pPr>
        <w:pStyle w:val="NormalWeb"/>
        <w:spacing w:before="0" w:beforeAutospacing="0" w:after="0" w:afterAutospacing="0" w:line="276" w:lineRule="auto"/>
        <w:jc w:val="both"/>
      </w:pPr>
      <w:r w:rsidRPr="00804D06">
        <w:t>A stakeholder engagement approach for identifying future research directions in the evaluation of current and emerging applications of GMOs</w:t>
      </w:r>
    </w:p>
    <w:p w:rsidR="00126B5D" w:rsidRPr="00804D06" w:rsidRDefault="00126B5D" w:rsidP="00D23BD9">
      <w:pPr>
        <w:pStyle w:val="NormalWeb"/>
        <w:spacing w:before="0" w:beforeAutospacing="0" w:after="0" w:afterAutospacing="0" w:line="276" w:lineRule="auto"/>
        <w:jc w:val="both"/>
      </w:pPr>
    </w:p>
    <w:p w:rsidR="00126B5D" w:rsidRPr="00804D06" w:rsidRDefault="00126B5D" w:rsidP="00D23BD9">
      <w:pPr>
        <w:pStyle w:val="NormalWeb"/>
        <w:spacing w:before="0" w:beforeAutospacing="0" w:after="0" w:afterAutospacing="0" w:line="276" w:lineRule="auto"/>
        <w:jc w:val="both"/>
      </w:pPr>
      <w:r w:rsidRPr="00804D06">
        <w:t>Abstract</w:t>
      </w:r>
    </w:p>
    <w:p w:rsidR="00126B5D" w:rsidRPr="00804D06" w:rsidRDefault="00126B5D" w:rsidP="00D23BD9">
      <w:pPr>
        <w:pStyle w:val="NormalWeb"/>
        <w:spacing w:before="0" w:beforeAutospacing="0" w:after="0" w:afterAutospacing="0" w:line="276" w:lineRule="auto"/>
        <w:jc w:val="both"/>
      </w:pPr>
      <w:r w:rsidRPr="00804D06">
        <w:lastRenderedPageBreak/>
        <w:t>The yield of several commodity crops is provided in large part by genetically modified crops in North and South America. However, reservations exist in Europe due to possible negative effects on human health or environment. This paper aims to analyse the current research priorities idented in EU countries and to engage European stakeholders into the formulation of future common research needs regarding the effects of the possible adoption of commercially available and forthcoming genetically modified organisms (GMOs) in the areas of socio-economics, human and animal health, and environment. Additionally, it aims to identify the requirements for sharing available research capacities and existing infrastructures. First a mapping exercise of existing research activities in Europe was performed. A questionnaire was developed on a webbased platform and submitted to national focal points to collect information from EU Member States. Information was collected from 320 research projects conducted in the last 10 years in Europe. To refine results of the surveys, twenty invited experts and stakeholders from the public funding agencies of different EU Member States participated in an international workshop. This paper reports the main findings of these activities.</w:t>
      </w:r>
    </w:p>
    <w:p w:rsidR="00126B5D" w:rsidRPr="00804D06" w:rsidRDefault="00126B5D" w:rsidP="00D23BD9">
      <w:pPr>
        <w:pStyle w:val="NormalWeb"/>
        <w:spacing w:before="0" w:beforeAutospacing="0" w:after="0" w:afterAutospacing="0" w:line="276" w:lineRule="auto"/>
        <w:jc w:val="both"/>
      </w:pPr>
    </w:p>
    <w:p w:rsidR="00126B5D" w:rsidRPr="00804D06" w:rsidRDefault="00126B5D" w:rsidP="00D23BD9">
      <w:pPr>
        <w:pStyle w:val="NormalWeb"/>
        <w:spacing w:before="0" w:beforeAutospacing="0" w:after="0" w:afterAutospacing="0" w:line="276" w:lineRule="auto"/>
        <w:jc w:val="both"/>
        <w:rPr>
          <w:lang w:val="bg-BG"/>
        </w:rPr>
      </w:pPr>
      <w:r w:rsidRPr="00804D06">
        <w:rPr>
          <w:lang w:val="bg-BG"/>
        </w:rPr>
        <w:t>Подход за ангажиране на заинтересованите страни за определяне на бъдещи насоки на изследванията при оценката на настоящи и нововъзникващи приложения на ГМО</w:t>
      </w:r>
    </w:p>
    <w:p w:rsidR="00126B5D" w:rsidRPr="00804D06" w:rsidRDefault="00126B5D" w:rsidP="00D23BD9">
      <w:pPr>
        <w:pStyle w:val="NormalWeb"/>
        <w:spacing w:before="0" w:beforeAutospacing="0" w:after="0" w:afterAutospacing="0" w:line="276" w:lineRule="auto"/>
        <w:jc w:val="both"/>
        <w:rPr>
          <w:lang w:val="bg-BG"/>
        </w:rPr>
      </w:pPr>
    </w:p>
    <w:p w:rsidR="00126B5D" w:rsidRPr="00804D06" w:rsidRDefault="00126B5D" w:rsidP="00D23BD9">
      <w:pPr>
        <w:pStyle w:val="NormalWeb"/>
        <w:spacing w:before="0" w:beforeAutospacing="0" w:after="0" w:afterAutospacing="0" w:line="276" w:lineRule="auto"/>
        <w:jc w:val="both"/>
        <w:rPr>
          <w:lang w:val="bg-BG"/>
        </w:rPr>
      </w:pPr>
      <w:r w:rsidRPr="00804D06">
        <w:rPr>
          <w:lang w:val="bg-BG"/>
        </w:rPr>
        <w:t>Резюме</w:t>
      </w:r>
    </w:p>
    <w:p w:rsidR="00126B5D" w:rsidRPr="00804D06" w:rsidRDefault="00126B5D" w:rsidP="00D23BD9">
      <w:pPr>
        <w:pStyle w:val="NormalWeb"/>
        <w:spacing w:before="0" w:beforeAutospacing="0" w:after="0" w:afterAutospacing="0" w:line="276" w:lineRule="auto"/>
        <w:jc w:val="both"/>
        <w:rPr>
          <w:lang w:val="bg-BG"/>
        </w:rPr>
      </w:pPr>
      <w:r w:rsidRPr="00804D06">
        <w:rPr>
          <w:lang w:val="bg-BG"/>
        </w:rPr>
        <w:t>Добивът на някой основни култури се осигурява до голяма степен от генетично модифицирани култури в Северна и Южна Америка. В Европа обаче съществуват резерви поради възможни отрицателни ефекти върху човешкото здраве или околната среда. Тази статия има за цел да анализира настоящите приоритети за изследвания, установени в страните от ЕС, и да ангажира заинтересованите страни в Европа във формулирането на бъдещи общи изследователски цели относно ефектите от евентуалното пускане на пазара на настоящи и бъдещи генетично модифицирани организми (ГМО) в областите на социалната икономика, човешкото и животинското здраве и околната среда. Освен това, има за цел да идентифицира условията за споделяне на наличния изследователски капацитет и съществуващата инфраструктура. Първо беше извършено картотекиране на съществуващите изследователски дейности в Европа. Разработен е въпросник в уеб-базирана платформа и е изпратен до националните фокусни точки за събиране на информация от държавите-членки на ЕС. Събрана е информация от 320 изследователски проекта, проведени през последните 10 години в Европа. За да се усъвършенстват резултатите от проучванията, двадесет поканени експерти и заинтересовани страни от агенции за публично финансиране от различни държави-членки на ЕС участваха в международен семинар. Тази статия представя основните констатации от тези дейности.</w:t>
      </w:r>
    </w:p>
    <w:p w:rsidR="00126B5D" w:rsidRDefault="00126B5D" w:rsidP="00D23BD9">
      <w:pPr>
        <w:jc w:val="both"/>
        <w:rPr>
          <w:lang w:val="bg-BG"/>
        </w:rPr>
      </w:pPr>
    </w:p>
    <w:p w:rsidR="00126B5D" w:rsidRPr="00804D06" w:rsidRDefault="00126B5D" w:rsidP="00D23BD9">
      <w:pPr>
        <w:pStyle w:val="NormalWeb"/>
        <w:numPr>
          <w:ilvl w:val="0"/>
          <w:numId w:val="1"/>
        </w:numPr>
        <w:spacing w:before="0" w:beforeAutospacing="0" w:after="0" w:afterAutospacing="0" w:line="276" w:lineRule="auto"/>
        <w:jc w:val="both"/>
      </w:pPr>
      <w:r w:rsidRPr="00AE495C">
        <w:rPr>
          <w:b/>
        </w:rPr>
        <w:t>Kostov, K.</w:t>
      </w:r>
      <w:r w:rsidRPr="00804D06">
        <w:t xml:space="preserve">, Christova, P., Lyubenova, A., Slavov, S. (2019) Distribution of </w:t>
      </w:r>
      <w:r w:rsidRPr="00804D06">
        <w:rPr>
          <w:i/>
        </w:rPr>
        <w:t>Phytophthora gonapodyides</w:t>
      </w:r>
      <w:r w:rsidRPr="00804D06">
        <w:t xml:space="preserve"> in mountain river systems of Bulgaria. Journal of Mountain Agriculture on the Balkans 22(1), 282–293. </w:t>
      </w:r>
      <w:r w:rsidRPr="002D537F">
        <w:rPr>
          <w:b/>
        </w:rPr>
        <w:t>(</w:t>
      </w:r>
      <w:r w:rsidR="002008A5">
        <w:rPr>
          <w:b/>
          <w:lang w:val="bg-BG"/>
        </w:rPr>
        <w:t>В4.</w:t>
      </w:r>
      <w:r w:rsidRPr="002D537F">
        <w:rPr>
          <w:b/>
        </w:rPr>
        <w:t>7)</w:t>
      </w:r>
    </w:p>
    <w:p w:rsidR="00126B5D" w:rsidRPr="00804D06" w:rsidRDefault="00126B5D" w:rsidP="00D23BD9">
      <w:pPr>
        <w:pStyle w:val="NormalWeb"/>
        <w:spacing w:before="0" w:beforeAutospacing="0" w:after="0" w:afterAutospacing="0" w:line="276" w:lineRule="auto"/>
        <w:jc w:val="both"/>
      </w:pPr>
    </w:p>
    <w:p w:rsidR="00126B5D" w:rsidRPr="00804D06" w:rsidRDefault="00126B5D" w:rsidP="00D23BD9">
      <w:pPr>
        <w:pStyle w:val="NormalWeb"/>
        <w:spacing w:before="0" w:beforeAutospacing="0" w:after="0" w:afterAutospacing="0" w:line="276" w:lineRule="auto"/>
        <w:jc w:val="both"/>
      </w:pPr>
      <w:r w:rsidRPr="00804D06">
        <w:t xml:space="preserve">Distribution of </w:t>
      </w:r>
      <w:r w:rsidRPr="00804D06">
        <w:rPr>
          <w:i/>
        </w:rPr>
        <w:t>Phytophthora gonapodyides</w:t>
      </w:r>
      <w:r w:rsidRPr="00804D06">
        <w:t xml:space="preserve"> in Mountain River Systems of Bulgaria</w:t>
      </w:r>
    </w:p>
    <w:p w:rsidR="00126B5D" w:rsidRPr="00804D06" w:rsidRDefault="00126B5D" w:rsidP="00D23BD9">
      <w:pPr>
        <w:pStyle w:val="NormalWeb"/>
        <w:spacing w:before="0" w:beforeAutospacing="0" w:after="0" w:afterAutospacing="0" w:line="276" w:lineRule="auto"/>
        <w:jc w:val="both"/>
      </w:pPr>
    </w:p>
    <w:p w:rsidR="00126B5D" w:rsidRPr="00804D06" w:rsidRDefault="00126B5D" w:rsidP="00D23BD9">
      <w:pPr>
        <w:pStyle w:val="NormalWeb"/>
        <w:spacing w:before="0" w:beforeAutospacing="0" w:after="0" w:afterAutospacing="0" w:line="276" w:lineRule="auto"/>
        <w:jc w:val="both"/>
      </w:pPr>
      <w:r w:rsidRPr="00804D06">
        <w:t>Summary</w:t>
      </w:r>
    </w:p>
    <w:p w:rsidR="00126B5D" w:rsidRPr="00804D06" w:rsidRDefault="00126B5D" w:rsidP="00D23BD9">
      <w:pPr>
        <w:pStyle w:val="NormalWeb"/>
        <w:spacing w:before="0" w:beforeAutospacing="0" w:after="0" w:afterAutospacing="0" w:line="276" w:lineRule="auto"/>
        <w:jc w:val="both"/>
      </w:pPr>
      <w:r w:rsidRPr="00804D06">
        <w:t xml:space="preserve">In order to study the distribution and diversity of </w:t>
      </w:r>
      <w:r w:rsidRPr="00804D06">
        <w:rPr>
          <w:i/>
        </w:rPr>
        <w:t>Phytophthora species</w:t>
      </w:r>
      <w:r w:rsidRPr="00804D06">
        <w:t xml:space="preserve"> in mountain river systems (from 700 to 2000 m. above sea level) of Bulgaria rhododendron "baits" were placed along the rivers in Vitosha, Plana, Ruy, Rila, Rhodopes and Balkan Mountains. The identity of the obtained isolates was determined on the basis of genetic similarities with known species. From overall 37 isolates 67% belong to </w:t>
      </w:r>
      <w:r w:rsidRPr="00804D06">
        <w:rPr>
          <w:i/>
        </w:rPr>
        <w:t>Phytophthora gonapodyides</w:t>
      </w:r>
      <w:r w:rsidRPr="00804D06">
        <w:t>, a species often isolated from rivers and riparian ecosystems. According to the literature, it demonstrates weak to moderate pathogenicity to some important for Bulgaria forest tree species, such as oak and beech by causing root rot. Its distribution must be taken into account when creating new forest stands involving sensitive species, in places with increased soil moisture and using surface water for irrigation.</w:t>
      </w:r>
    </w:p>
    <w:p w:rsidR="00126B5D" w:rsidRPr="00804D06" w:rsidRDefault="00126B5D" w:rsidP="00D23BD9">
      <w:pPr>
        <w:pStyle w:val="NormalWeb"/>
        <w:spacing w:before="0" w:beforeAutospacing="0" w:after="0" w:afterAutospacing="0" w:line="276" w:lineRule="auto"/>
        <w:jc w:val="both"/>
      </w:pPr>
    </w:p>
    <w:p w:rsidR="00126B5D" w:rsidRPr="00804D06" w:rsidRDefault="00126B5D" w:rsidP="00D23BD9">
      <w:pPr>
        <w:pStyle w:val="NormalWeb"/>
        <w:spacing w:before="0" w:beforeAutospacing="0" w:after="0" w:afterAutospacing="0" w:line="276" w:lineRule="auto"/>
        <w:jc w:val="both"/>
        <w:rPr>
          <w:lang w:val="bg-BG"/>
        </w:rPr>
      </w:pPr>
    </w:p>
    <w:p w:rsidR="00126B5D" w:rsidRPr="00804D06" w:rsidRDefault="00126B5D" w:rsidP="00D23BD9">
      <w:pPr>
        <w:pStyle w:val="NormalWeb"/>
        <w:spacing w:before="0" w:beforeAutospacing="0" w:after="0" w:afterAutospacing="0" w:line="276" w:lineRule="auto"/>
        <w:jc w:val="both"/>
        <w:rPr>
          <w:lang w:val="bg-BG"/>
        </w:rPr>
      </w:pPr>
      <w:r w:rsidRPr="00804D06">
        <w:rPr>
          <w:lang w:val="bg-BG"/>
        </w:rPr>
        <w:t xml:space="preserve">Разпространение на </w:t>
      </w:r>
      <w:r w:rsidRPr="00804D06">
        <w:rPr>
          <w:i/>
        </w:rPr>
        <w:t>Phytophthora</w:t>
      </w:r>
      <w:r w:rsidRPr="00804D06">
        <w:rPr>
          <w:i/>
          <w:lang w:val="bg-BG"/>
        </w:rPr>
        <w:t xml:space="preserve"> </w:t>
      </w:r>
      <w:r w:rsidRPr="00804D06">
        <w:rPr>
          <w:i/>
        </w:rPr>
        <w:t>gonapodyides</w:t>
      </w:r>
      <w:r w:rsidRPr="00804D06">
        <w:rPr>
          <w:lang w:val="bg-BG"/>
        </w:rPr>
        <w:t xml:space="preserve"> в планински речни системи на България</w:t>
      </w:r>
    </w:p>
    <w:p w:rsidR="00126B5D" w:rsidRPr="00804D06" w:rsidRDefault="00126B5D" w:rsidP="00D23BD9">
      <w:pPr>
        <w:pStyle w:val="NormalWeb"/>
        <w:spacing w:before="0" w:beforeAutospacing="0" w:after="0" w:afterAutospacing="0" w:line="276" w:lineRule="auto"/>
        <w:jc w:val="both"/>
        <w:rPr>
          <w:lang w:val="bg-BG"/>
        </w:rPr>
      </w:pPr>
    </w:p>
    <w:p w:rsidR="00126B5D" w:rsidRPr="00804D06" w:rsidRDefault="00126B5D" w:rsidP="00D23BD9">
      <w:pPr>
        <w:pStyle w:val="NormalWeb"/>
        <w:spacing w:before="0" w:beforeAutospacing="0" w:after="0" w:afterAutospacing="0" w:line="276" w:lineRule="auto"/>
        <w:jc w:val="both"/>
        <w:rPr>
          <w:lang w:val="bg-BG"/>
        </w:rPr>
      </w:pPr>
      <w:r w:rsidRPr="00804D06">
        <w:rPr>
          <w:lang w:val="bg-BG"/>
        </w:rPr>
        <w:t xml:space="preserve">Резюме </w:t>
      </w:r>
    </w:p>
    <w:p w:rsidR="00126B5D" w:rsidRPr="00804D06" w:rsidRDefault="00126B5D" w:rsidP="00D23BD9">
      <w:pPr>
        <w:pStyle w:val="NormalWeb"/>
        <w:spacing w:before="0" w:beforeAutospacing="0" w:after="0" w:afterAutospacing="0" w:line="276" w:lineRule="auto"/>
        <w:jc w:val="both"/>
        <w:rPr>
          <w:lang w:val="bg-BG"/>
        </w:rPr>
      </w:pPr>
      <w:r w:rsidRPr="00804D06">
        <w:rPr>
          <w:lang w:val="bg-BG"/>
        </w:rPr>
        <w:t xml:space="preserve">С цел изследване на разпространението и видовото разнообразие на </w:t>
      </w:r>
      <w:r w:rsidRPr="00804D06">
        <w:rPr>
          <w:i/>
        </w:rPr>
        <w:t>Phytophthora</w:t>
      </w:r>
      <w:r w:rsidRPr="00804D06">
        <w:rPr>
          <w:i/>
          <w:lang w:val="bg-BG"/>
        </w:rPr>
        <w:t xml:space="preserve"> </w:t>
      </w:r>
      <w:r w:rsidRPr="00804D06">
        <w:rPr>
          <w:i/>
        </w:rPr>
        <w:t>spp</w:t>
      </w:r>
      <w:r w:rsidRPr="00804D06">
        <w:rPr>
          <w:lang w:val="bg-BG"/>
        </w:rPr>
        <w:t xml:space="preserve">. в планински речни системи (от 700 до 2000 </w:t>
      </w:r>
      <w:r w:rsidRPr="00804D06">
        <w:t>m</w:t>
      </w:r>
      <w:r w:rsidRPr="00804D06">
        <w:rPr>
          <w:lang w:val="bg-BG"/>
        </w:rPr>
        <w:t xml:space="preserve"> надморска височина) в България са заложени "уловки" с листа от рододендрон по протежението на реки на територията на планините Витоша, Плана, Руй, Рила, Родопи и Стара планина. Видовата принадлежност на получените изолати е определена на база генетични сходства с известни видове. От общо 37 изолати 67% принадлежат към </w:t>
      </w:r>
      <w:r w:rsidRPr="00804D06">
        <w:rPr>
          <w:i/>
        </w:rPr>
        <w:t>Phytophthora</w:t>
      </w:r>
      <w:r w:rsidRPr="00804D06">
        <w:rPr>
          <w:i/>
          <w:lang w:val="bg-BG"/>
        </w:rPr>
        <w:t xml:space="preserve"> </w:t>
      </w:r>
      <w:r w:rsidRPr="00804D06">
        <w:rPr>
          <w:i/>
        </w:rPr>
        <w:t>gonapodyides</w:t>
      </w:r>
      <w:r w:rsidRPr="00804D06">
        <w:rPr>
          <w:lang w:val="bg-BG"/>
        </w:rPr>
        <w:t xml:space="preserve">, вид често изолиран от реки и крайречни екосистеми. По литературни данни той </w:t>
      </w:r>
      <w:r w:rsidRPr="00804D06">
        <w:t>e</w:t>
      </w:r>
      <w:r w:rsidRPr="00804D06">
        <w:rPr>
          <w:lang w:val="bg-BG"/>
        </w:rPr>
        <w:t xml:space="preserve"> с умерен до слаб патогенитет спрямо някои основни за България горски дървесни видове като дъб и бук, като е установено, че е способен да причинява гниене на кореновата система. Наличието му трябва да се има предвид при създаване на нови горски насаждения с участието на чувствителни видове, на места с повишена почвена влажност и при използването на повърхностни води за напояване.</w:t>
      </w:r>
    </w:p>
    <w:p w:rsidR="00126B5D" w:rsidRDefault="00126B5D" w:rsidP="00D23BD9">
      <w:pPr>
        <w:jc w:val="both"/>
        <w:rPr>
          <w:lang w:val="bg-BG"/>
        </w:rPr>
      </w:pPr>
    </w:p>
    <w:p w:rsidR="00126B5D" w:rsidRPr="00804D06" w:rsidRDefault="00126B5D" w:rsidP="00D23BD9">
      <w:pPr>
        <w:pStyle w:val="NormalWeb"/>
        <w:numPr>
          <w:ilvl w:val="0"/>
          <w:numId w:val="1"/>
        </w:numPr>
        <w:spacing w:before="0" w:beforeAutospacing="0" w:after="0" w:afterAutospacing="0" w:line="276" w:lineRule="auto"/>
        <w:jc w:val="both"/>
      </w:pPr>
      <w:r w:rsidRPr="00804D06">
        <w:t xml:space="preserve">Mezzetti, B., Smagghe, G., Arpaia, S., Christiaens, O., Dietz-Pfeilstetter, A., Jones, H., </w:t>
      </w:r>
      <w:r w:rsidRPr="00804D06">
        <w:rPr>
          <w:b/>
        </w:rPr>
        <w:t>Kostov, K.</w:t>
      </w:r>
      <w:r w:rsidRPr="00804D06">
        <w:t xml:space="preserve">, Sabbadini, S., Opsahl-Sorteberg, H.-G., Ventura, V., Taning, C.N.T., Sweet, J. (2020) RNAi: What is its position in agriculture? Journal of Pest Science 93(4), 1125–1130. </w:t>
      </w:r>
      <w:r w:rsidRPr="002D537F">
        <w:rPr>
          <w:b/>
        </w:rPr>
        <w:t>(</w:t>
      </w:r>
      <w:r w:rsidR="002008A5">
        <w:rPr>
          <w:b/>
        </w:rPr>
        <w:t>В4.</w:t>
      </w:r>
      <w:r w:rsidRPr="002D537F">
        <w:rPr>
          <w:b/>
        </w:rPr>
        <w:t>8)</w:t>
      </w:r>
    </w:p>
    <w:p w:rsidR="00126B5D" w:rsidRPr="00804D06" w:rsidRDefault="00126B5D" w:rsidP="00D23BD9">
      <w:pPr>
        <w:pStyle w:val="NormalWeb"/>
        <w:spacing w:before="0" w:beforeAutospacing="0" w:after="0" w:afterAutospacing="0" w:line="276" w:lineRule="auto"/>
        <w:jc w:val="both"/>
      </w:pPr>
    </w:p>
    <w:p w:rsidR="00126B5D" w:rsidRPr="00804D06" w:rsidRDefault="00126B5D" w:rsidP="00D23BD9">
      <w:pPr>
        <w:pStyle w:val="NormalWeb"/>
        <w:spacing w:before="0" w:beforeAutospacing="0" w:after="0" w:afterAutospacing="0" w:line="276" w:lineRule="auto"/>
        <w:jc w:val="both"/>
      </w:pPr>
      <w:r w:rsidRPr="00804D06">
        <w:t>RNAi: What is its position in agriculture?</w:t>
      </w:r>
    </w:p>
    <w:p w:rsidR="00126B5D" w:rsidRPr="00804D06" w:rsidRDefault="00126B5D" w:rsidP="00D23BD9">
      <w:pPr>
        <w:pStyle w:val="NormalWeb"/>
        <w:spacing w:before="0" w:beforeAutospacing="0" w:after="0" w:afterAutospacing="0" w:line="276" w:lineRule="auto"/>
        <w:jc w:val="both"/>
      </w:pPr>
    </w:p>
    <w:p w:rsidR="00126B5D" w:rsidRPr="00804D06" w:rsidRDefault="00126B5D" w:rsidP="00D23BD9">
      <w:pPr>
        <w:pStyle w:val="NormalWeb"/>
        <w:spacing w:before="0" w:beforeAutospacing="0" w:after="0" w:afterAutospacing="0" w:line="276" w:lineRule="auto"/>
        <w:jc w:val="both"/>
      </w:pPr>
      <w:r w:rsidRPr="00804D06">
        <w:t>Abstract</w:t>
      </w:r>
    </w:p>
    <w:p w:rsidR="00126B5D" w:rsidRPr="00804D06" w:rsidRDefault="00126B5D" w:rsidP="00D23BD9">
      <w:pPr>
        <w:pStyle w:val="NormalWeb"/>
        <w:spacing w:before="0" w:beforeAutospacing="0" w:after="0" w:afterAutospacing="0" w:line="276" w:lineRule="auto"/>
        <w:jc w:val="both"/>
      </w:pPr>
      <w:r w:rsidRPr="00804D06">
        <w:lastRenderedPageBreak/>
        <w:t>RNA interference (RNAi) is being developed and exploited to improve plants by modifying endogenous gene expression as well as to target pest and pathogen genes both within plants (i.e. host-induced gene silencing) and/or as topical applications (e.g. spray-induced gene silencing). RNAi is a natural mechanism which can be exploited to make a major contribution towards integrated pest management and sustainable agricultural strategies needed worldwide to secure current and future food production. RNAi plants are being assessed and regulated using existing regulatory frameworks for GMO. However, there is an urgent need to develop appropriate science-based risk assessment procedures for topical RNAi applications within existing plant protection products legislation.</w:t>
      </w:r>
    </w:p>
    <w:p w:rsidR="00126B5D" w:rsidRPr="00804D06" w:rsidRDefault="00126B5D" w:rsidP="00D23BD9">
      <w:pPr>
        <w:pStyle w:val="NormalWeb"/>
        <w:spacing w:before="0" w:beforeAutospacing="0" w:after="0" w:afterAutospacing="0" w:line="276" w:lineRule="auto"/>
        <w:jc w:val="both"/>
      </w:pPr>
    </w:p>
    <w:p w:rsidR="00126B5D" w:rsidRPr="00804D06" w:rsidRDefault="00126B5D" w:rsidP="00D23BD9">
      <w:pPr>
        <w:pStyle w:val="NormalWeb"/>
        <w:spacing w:before="0" w:beforeAutospacing="0" w:after="0" w:afterAutospacing="0" w:line="276" w:lineRule="auto"/>
        <w:jc w:val="both"/>
        <w:rPr>
          <w:lang w:val="bg-BG"/>
        </w:rPr>
      </w:pPr>
      <w:r w:rsidRPr="00804D06">
        <w:rPr>
          <w:lang w:val="bg-BG"/>
        </w:rPr>
        <w:t>RNAi: Какво е място</w:t>
      </w:r>
      <w:r w:rsidRPr="00804D06">
        <w:t xml:space="preserve"> </w:t>
      </w:r>
      <w:r w:rsidRPr="00804D06">
        <w:rPr>
          <w:lang w:val="bg-BG"/>
        </w:rPr>
        <w:t>ѝ в селското стопанство?</w:t>
      </w:r>
    </w:p>
    <w:p w:rsidR="00126B5D" w:rsidRPr="00804D06" w:rsidRDefault="00126B5D" w:rsidP="00D23BD9">
      <w:pPr>
        <w:pStyle w:val="NormalWeb"/>
        <w:spacing w:before="0" w:beforeAutospacing="0" w:after="0" w:afterAutospacing="0" w:line="276" w:lineRule="auto"/>
        <w:jc w:val="both"/>
        <w:rPr>
          <w:lang w:val="bg-BG"/>
        </w:rPr>
      </w:pPr>
    </w:p>
    <w:p w:rsidR="00126B5D" w:rsidRPr="00804D06" w:rsidRDefault="00126B5D" w:rsidP="00D23BD9">
      <w:pPr>
        <w:pStyle w:val="NormalWeb"/>
        <w:spacing w:before="0" w:beforeAutospacing="0" w:after="0" w:afterAutospacing="0" w:line="276" w:lineRule="auto"/>
        <w:jc w:val="both"/>
        <w:rPr>
          <w:lang w:val="bg-BG"/>
        </w:rPr>
      </w:pPr>
      <w:r w:rsidRPr="00804D06">
        <w:rPr>
          <w:lang w:val="bg-BG"/>
        </w:rPr>
        <w:t>Резюме</w:t>
      </w:r>
    </w:p>
    <w:p w:rsidR="00126B5D" w:rsidRPr="00804D06" w:rsidRDefault="00126B5D" w:rsidP="00D23BD9">
      <w:pPr>
        <w:pStyle w:val="NormalWeb"/>
        <w:spacing w:before="0" w:beforeAutospacing="0" w:after="0" w:afterAutospacing="0" w:line="276" w:lineRule="auto"/>
        <w:jc w:val="both"/>
        <w:rPr>
          <w:lang w:val="bg-BG"/>
        </w:rPr>
      </w:pPr>
      <w:r w:rsidRPr="00804D06">
        <w:rPr>
          <w:lang w:val="bg-BG"/>
        </w:rPr>
        <w:t xml:space="preserve">РНК интерференцията (RNAi) се </w:t>
      </w:r>
      <w:r>
        <w:rPr>
          <w:lang w:val="bg-BG"/>
        </w:rPr>
        <w:t>изследва</w:t>
      </w:r>
      <w:r w:rsidRPr="00804D06">
        <w:rPr>
          <w:lang w:val="bg-BG"/>
        </w:rPr>
        <w:t xml:space="preserve"> и изпол</w:t>
      </w:r>
      <w:r>
        <w:rPr>
          <w:lang w:val="bg-BG"/>
        </w:rPr>
        <w:t>зва за подобряване на растенията</w:t>
      </w:r>
      <w:r w:rsidRPr="00804D06">
        <w:rPr>
          <w:lang w:val="bg-BG"/>
        </w:rPr>
        <w:t xml:space="preserve"> чрез модифициране на генна</w:t>
      </w:r>
      <w:r>
        <w:rPr>
          <w:lang w:val="bg-BG"/>
        </w:rPr>
        <w:t>та</w:t>
      </w:r>
      <w:r w:rsidRPr="00804D06">
        <w:rPr>
          <w:lang w:val="bg-BG"/>
        </w:rPr>
        <w:t xml:space="preserve"> експресия, както и </w:t>
      </w:r>
      <w:r>
        <w:rPr>
          <w:lang w:val="bg-BG"/>
        </w:rPr>
        <w:t>за деактивиране на</w:t>
      </w:r>
      <w:r w:rsidRPr="00804D06">
        <w:rPr>
          <w:lang w:val="bg-BG"/>
        </w:rPr>
        <w:t xml:space="preserve"> гени на вредители и патогени вътре в самите растения (индуцирано от гостоприемника заглушаване на гени), </w:t>
      </w:r>
      <w:r>
        <w:rPr>
          <w:lang w:val="bg-BG"/>
        </w:rPr>
        <w:t xml:space="preserve">или </w:t>
      </w:r>
      <w:r w:rsidRPr="00804D06">
        <w:rPr>
          <w:lang w:val="bg-BG"/>
        </w:rPr>
        <w:t>чрез повърхностно приложение (индуцирано чрез пръскане заглушаване на гени). RNAi е естестве</w:t>
      </w:r>
      <w:r>
        <w:rPr>
          <w:lang w:val="bg-BG"/>
        </w:rPr>
        <w:t xml:space="preserve">н механизъм, който може </w:t>
      </w:r>
      <w:r w:rsidRPr="00804D06">
        <w:rPr>
          <w:lang w:val="bg-BG"/>
        </w:rPr>
        <w:t>да допринесе значително към интегрирания контрол на вредителите</w:t>
      </w:r>
      <w:r>
        <w:rPr>
          <w:lang w:val="bg-BG"/>
        </w:rPr>
        <w:t>,</w:t>
      </w:r>
      <w:r w:rsidRPr="00804D06">
        <w:rPr>
          <w:lang w:val="bg-BG"/>
        </w:rPr>
        <w:t xml:space="preserve"> </w:t>
      </w:r>
      <w:r>
        <w:rPr>
          <w:lang w:val="bg-BG"/>
        </w:rPr>
        <w:t xml:space="preserve">както </w:t>
      </w:r>
      <w:r w:rsidRPr="00804D06">
        <w:rPr>
          <w:lang w:val="bg-BG"/>
        </w:rPr>
        <w:t xml:space="preserve">и към стратегиите за устойчиво земеделие, нужни в световен мащаб за осигуряване на настоящото и бъдещото производство на храни. Растения на базата на RNAi се третират и регулират, като се използва съществуващата регулаторна рамки за ГМО. </w:t>
      </w:r>
      <w:r>
        <w:rPr>
          <w:lang w:val="bg-BG"/>
        </w:rPr>
        <w:t>От с</w:t>
      </w:r>
      <w:r w:rsidRPr="00804D06">
        <w:rPr>
          <w:lang w:val="bg-BG"/>
        </w:rPr>
        <w:t xml:space="preserve">пешна </w:t>
      </w:r>
      <w:r>
        <w:rPr>
          <w:lang w:val="bg-BG"/>
        </w:rPr>
        <w:t xml:space="preserve">необходимост е </w:t>
      </w:r>
      <w:r w:rsidRPr="00804D06">
        <w:rPr>
          <w:lang w:val="bg-BG"/>
        </w:rPr>
        <w:t>разработване</w:t>
      </w:r>
      <w:r>
        <w:rPr>
          <w:lang w:val="bg-BG"/>
        </w:rPr>
        <w:t>то</w:t>
      </w:r>
      <w:r w:rsidRPr="00804D06">
        <w:rPr>
          <w:lang w:val="bg-BG"/>
        </w:rPr>
        <w:t xml:space="preserve"> на подходящи научно обосновани процедури за оценка на риска от повърхностно приложение на RNAi в рамките на съществуващото законодателство относно продуктите за растителна защита.</w:t>
      </w:r>
    </w:p>
    <w:p w:rsidR="00126B5D" w:rsidRDefault="00126B5D" w:rsidP="00D23BD9">
      <w:pPr>
        <w:jc w:val="both"/>
        <w:rPr>
          <w:lang w:val="bg-BG"/>
        </w:rPr>
      </w:pPr>
    </w:p>
    <w:p w:rsidR="006E00D9" w:rsidRPr="00804D06" w:rsidRDefault="006E00D9" w:rsidP="00D23BD9">
      <w:pPr>
        <w:pStyle w:val="NormalWeb"/>
        <w:numPr>
          <w:ilvl w:val="0"/>
          <w:numId w:val="1"/>
        </w:numPr>
        <w:spacing w:before="0" w:beforeAutospacing="0" w:after="0" w:afterAutospacing="0" w:line="276" w:lineRule="auto"/>
        <w:jc w:val="both"/>
      </w:pPr>
      <w:r w:rsidRPr="00804D06">
        <w:t xml:space="preserve">Christova, P., </w:t>
      </w:r>
      <w:r w:rsidRPr="00472B73">
        <w:rPr>
          <w:b/>
        </w:rPr>
        <w:t>Kostov, K.</w:t>
      </w:r>
      <w:r w:rsidRPr="00804D06">
        <w:t xml:space="preserve">, Lyubenova, A., Slavov, S. (2021) A new hybrid of </w:t>
      </w:r>
      <w:r w:rsidRPr="00804D06">
        <w:rPr>
          <w:i/>
        </w:rPr>
        <w:t>Phytophthora from</w:t>
      </w:r>
      <w:r w:rsidRPr="00804D06">
        <w:t xml:space="preserve"> Southeast Europe. Mycologia 113(4), 734–747. </w:t>
      </w:r>
      <w:r w:rsidRPr="00C51DA1">
        <w:rPr>
          <w:b/>
        </w:rPr>
        <w:t>(</w:t>
      </w:r>
      <w:r w:rsidR="002008A5">
        <w:rPr>
          <w:b/>
        </w:rPr>
        <w:t>В4.</w:t>
      </w:r>
      <w:r w:rsidRPr="00C51DA1">
        <w:rPr>
          <w:b/>
        </w:rPr>
        <w:t>9)</w:t>
      </w:r>
    </w:p>
    <w:p w:rsidR="006E00D9" w:rsidRPr="00804D06" w:rsidRDefault="006E00D9" w:rsidP="00D23BD9">
      <w:pPr>
        <w:pStyle w:val="NormalWeb"/>
        <w:spacing w:before="0" w:beforeAutospacing="0" w:after="0" w:afterAutospacing="0" w:line="276" w:lineRule="auto"/>
        <w:jc w:val="both"/>
      </w:pPr>
    </w:p>
    <w:p w:rsidR="006E00D9" w:rsidRPr="00804D06" w:rsidRDefault="006E00D9" w:rsidP="00D23BD9">
      <w:pPr>
        <w:pStyle w:val="NormalWeb"/>
        <w:spacing w:before="0" w:beforeAutospacing="0" w:after="0" w:afterAutospacing="0" w:line="276" w:lineRule="auto"/>
        <w:jc w:val="both"/>
      </w:pPr>
      <w:r w:rsidRPr="00804D06">
        <w:t xml:space="preserve">A new hybrid of </w:t>
      </w:r>
      <w:r w:rsidRPr="00804D06">
        <w:rPr>
          <w:i/>
        </w:rPr>
        <w:t>Phytophthora from</w:t>
      </w:r>
      <w:r w:rsidRPr="00804D06">
        <w:t xml:space="preserve"> Southeast Europe</w:t>
      </w:r>
    </w:p>
    <w:p w:rsidR="006E00D9" w:rsidRPr="00804D06" w:rsidRDefault="006E00D9" w:rsidP="00D23BD9">
      <w:pPr>
        <w:pStyle w:val="NormalWeb"/>
        <w:spacing w:before="0" w:beforeAutospacing="0" w:after="0" w:afterAutospacing="0" w:line="276" w:lineRule="auto"/>
        <w:jc w:val="both"/>
      </w:pPr>
    </w:p>
    <w:p w:rsidR="006E00D9" w:rsidRPr="00804D06" w:rsidRDefault="006E00D9" w:rsidP="00D23BD9">
      <w:pPr>
        <w:pStyle w:val="NormalWeb"/>
        <w:spacing w:before="0" w:beforeAutospacing="0" w:after="0" w:afterAutospacing="0" w:line="276" w:lineRule="auto"/>
        <w:jc w:val="both"/>
      </w:pPr>
      <w:r w:rsidRPr="00804D06">
        <w:t>ABSTRACT</w:t>
      </w:r>
    </w:p>
    <w:p w:rsidR="006E00D9" w:rsidRPr="00804D06" w:rsidRDefault="006E00D9" w:rsidP="00D23BD9">
      <w:pPr>
        <w:pStyle w:val="NormalWeb"/>
        <w:spacing w:before="0" w:beforeAutospacing="0" w:after="0" w:afterAutospacing="0" w:line="276" w:lineRule="auto"/>
        <w:jc w:val="both"/>
      </w:pPr>
      <w:r w:rsidRPr="00804D06">
        <w:t xml:space="preserve">During an investigation of rivers in Bulgaria, an isolate of Phytophthora (RLKam2016/61c) was recovered and initially identified as </w:t>
      </w:r>
      <w:r w:rsidRPr="00804D06">
        <w:rPr>
          <w:i/>
        </w:rPr>
        <w:t>Phytophthora sansomeana</w:t>
      </w:r>
      <w:r w:rsidRPr="00804D06">
        <w:t xml:space="preserve"> based on internal transcribed spacer region (ITS) sequence data. However, the sequencing of the mitochondrial cytochrome c oxidase subunit I (cox1) gene revealed high similarity to </w:t>
      </w:r>
      <w:r w:rsidRPr="00804D06">
        <w:rPr>
          <w:i/>
        </w:rPr>
        <w:t>Phytophthora sp</w:t>
      </w:r>
      <w:r w:rsidRPr="00804D06">
        <w:t xml:space="preserve">. kelmania, and sequencing of other nuclear regions (2-tubulin [Btub] and translation elongation factor 1-alpha [tef1]) revealed a significant number of polymorphisms, indicating a possible hybridization event. Additional cloning and sequencing of the nuclear ITS and Btub regions showed the presence of two distinct groups of alleles, one of which was highly similar to </w:t>
      </w:r>
      <w:r w:rsidRPr="00804D06">
        <w:rPr>
          <w:i/>
        </w:rPr>
        <w:t>P. sansomeana</w:t>
      </w:r>
      <w:r w:rsidRPr="00804D06">
        <w:t xml:space="preserve">, whereas the other was similar to a species complex that includes </w:t>
      </w:r>
      <w:r w:rsidRPr="00804D06">
        <w:rPr>
          <w:i/>
        </w:rPr>
        <w:t>Phytophthora sp</w:t>
      </w:r>
      <w:r w:rsidRPr="00804D06">
        <w:t xml:space="preserve">. kelmania. Therefore, the new hybrid was </w:t>
      </w:r>
      <w:r w:rsidRPr="00804D06">
        <w:lastRenderedPageBreak/>
        <w:t xml:space="preserve">named </w:t>
      </w:r>
      <w:r w:rsidRPr="00804D06">
        <w:rPr>
          <w:i/>
        </w:rPr>
        <w:t>Phytophthora x</w:t>
      </w:r>
      <w:r w:rsidRPr="00804D06">
        <w:t xml:space="preserve"> sansomeana. It is characterized by fast growth on V8 juice agar (V8A) and carrot agar (CA), moderate aerial mycelium with radiate pattern of the colonies and relatively slower growth rate on malt extract agar (MEA) and potato dextrose agar (PDA), and petaloid to rosaceous pattern of the colonies with fluffy aerial mycelium. The optimum growth temperature for </w:t>
      </w:r>
      <w:r w:rsidRPr="00804D06">
        <w:rPr>
          <w:i/>
        </w:rPr>
        <w:t>P. x</w:t>
      </w:r>
      <w:r w:rsidRPr="00804D06">
        <w:t xml:space="preserve"> sansomeana was at 25 C, with an average growth rate of 9 mm per day. Abundant sporangium formation of the isolate in spring water was observed, but the hybrid was sterile in culture. Pathogenicity analyses of the hybrid were conducted in comparison with the most closely related subclade 8a species from our collection, </w:t>
      </w:r>
      <w:r w:rsidRPr="00804D06">
        <w:rPr>
          <w:i/>
        </w:rPr>
        <w:t>P. pseudocryptogea</w:t>
      </w:r>
      <w:r w:rsidRPr="00804D06">
        <w:t xml:space="preserve">. The inhibition e6ect on the root growth of young seedlings of two legumes, common pea and vetch, as well as on cuttings of the ornamental plant coleus induced by both phytopathogens was significant. No effect of either the new hybrid or </w:t>
      </w:r>
      <w:r w:rsidRPr="00804D06">
        <w:rPr>
          <w:i/>
        </w:rPr>
        <w:t>P. pseudocryptogea</w:t>
      </w:r>
      <w:r w:rsidRPr="00804D06">
        <w:t xml:space="preserve"> on the growth of maize seedlings was observed.</w:t>
      </w:r>
    </w:p>
    <w:p w:rsidR="006E00D9" w:rsidRPr="00804D06" w:rsidRDefault="006E00D9" w:rsidP="00D23BD9">
      <w:pPr>
        <w:pStyle w:val="NormalWeb"/>
        <w:spacing w:before="0" w:beforeAutospacing="0" w:after="0" w:afterAutospacing="0" w:line="276" w:lineRule="auto"/>
        <w:jc w:val="both"/>
      </w:pPr>
    </w:p>
    <w:p w:rsidR="006E00D9" w:rsidRPr="00804D06" w:rsidRDefault="006E00D9" w:rsidP="00D23BD9">
      <w:pPr>
        <w:pStyle w:val="NormalWeb"/>
        <w:spacing w:before="0" w:beforeAutospacing="0" w:after="0" w:afterAutospacing="0" w:line="276" w:lineRule="auto"/>
        <w:jc w:val="both"/>
        <w:rPr>
          <w:lang w:val="bg-BG"/>
        </w:rPr>
      </w:pPr>
      <w:r w:rsidRPr="00804D06">
        <w:rPr>
          <w:lang w:val="bg-BG"/>
        </w:rPr>
        <w:t>Нов хибрид на Phytophthora от Югоизточна Европа</w:t>
      </w:r>
    </w:p>
    <w:p w:rsidR="006E00D9" w:rsidRPr="00804D06" w:rsidRDefault="006E00D9" w:rsidP="00D23BD9">
      <w:pPr>
        <w:pStyle w:val="NormalWeb"/>
        <w:spacing w:before="0" w:beforeAutospacing="0" w:after="0" w:afterAutospacing="0" w:line="276" w:lineRule="auto"/>
        <w:jc w:val="both"/>
        <w:rPr>
          <w:lang w:val="bg-BG"/>
        </w:rPr>
      </w:pPr>
    </w:p>
    <w:p w:rsidR="006E00D9" w:rsidRPr="00804D06" w:rsidRDefault="006E00D9" w:rsidP="00D23BD9">
      <w:pPr>
        <w:pStyle w:val="NormalWeb"/>
        <w:spacing w:before="0" w:beforeAutospacing="0" w:after="0" w:afterAutospacing="0" w:line="276" w:lineRule="auto"/>
        <w:jc w:val="both"/>
        <w:rPr>
          <w:lang w:val="bg-BG"/>
        </w:rPr>
      </w:pPr>
      <w:r w:rsidRPr="00804D06">
        <w:rPr>
          <w:lang w:val="bg-BG"/>
        </w:rPr>
        <w:t>Резюме</w:t>
      </w:r>
    </w:p>
    <w:p w:rsidR="006E00D9" w:rsidRPr="00804D06" w:rsidRDefault="006E00D9" w:rsidP="00D23BD9">
      <w:pPr>
        <w:pStyle w:val="NormalWeb"/>
        <w:spacing w:before="0" w:beforeAutospacing="0" w:after="0" w:afterAutospacing="0" w:line="276" w:lineRule="auto"/>
        <w:jc w:val="both"/>
        <w:rPr>
          <w:lang w:val="bg-BG"/>
        </w:rPr>
      </w:pPr>
      <w:r w:rsidRPr="00804D06">
        <w:rPr>
          <w:lang w:val="bg-BG"/>
        </w:rPr>
        <w:t xml:space="preserve">По време на изследване на реки в България е открит изолат на </w:t>
      </w:r>
      <w:r w:rsidRPr="00804D06">
        <w:t>Phytophthora</w:t>
      </w:r>
      <w:r w:rsidRPr="00804D06">
        <w:rPr>
          <w:lang w:val="bg-BG"/>
        </w:rPr>
        <w:t xml:space="preserve"> (</w:t>
      </w:r>
      <w:r w:rsidRPr="00804D06">
        <w:t>RLKam</w:t>
      </w:r>
      <w:r w:rsidRPr="00804D06">
        <w:rPr>
          <w:lang w:val="bg-BG"/>
        </w:rPr>
        <w:t>2016/61</w:t>
      </w:r>
      <w:r w:rsidRPr="00804D06">
        <w:t>c</w:t>
      </w:r>
      <w:r w:rsidRPr="00804D06">
        <w:rPr>
          <w:lang w:val="bg-BG"/>
        </w:rPr>
        <w:t xml:space="preserve">), който първоначално е идентифициран като </w:t>
      </w:r>
      <w:r w:rsidRPr="00804D06">
        <w:rPr>
          <w:i/>
        </w:rPr>
        <w:t>Phytophthora</w:t>
      </w:r>
      <w:r w:rsidRPr="00804D06">
        <w:rPr>
          <w:i/>
          <w:lang w:val="bg-BG"/>
        </w:rPr>
        <w:t xml:space="preserve"> </w:t>
      </w:r>
      <w:r w:rsidRPr="00804D06">
        <w:rPr>
          <w:i/>
        </w:rPr>
        <w:t>sansomeana</w:t>
      </w:r>
      <w:r w:rsidRPr="00804D06">
        <w:rPr>
          <w:lang w:val="bg-BG"/>
        </w:rPr>
        <w:t xml:space="preserve"> въз основа на данни от секвенирането на регионът на вътрешния транскрибиран спейсър (</w:t>
      </w:r>
      <w:r w:rsidRPr="00804D06">
        <w:t>ITS</w:t>
      </w:r>
      <w:r w:rsidRPr="00804D06">
        <w:rPr>
          <w:lang w:val="bg-BG"/>
        </w:rPr>
        <w:t>). Олигонуклеотидната последователност на гена кодиращ субединица 1 на митохондриалната цитохром-с-оксидазата (</w:t>
      </w:r>
      <w:r w:rsidRPr="00804D06">
        <w:t>cox</w:t>
      </w:r>
      <w:r w:rsidRPr="00804D06">
        <w:rPr>
          <w:lang w:val="bg-BG"/>
        </w:rPr>
        <w:t xml:space="preserve">1) обаче разкри високи нива на сходство с </w:t>
      </w:r>
      <w:r w:rsidRPr="00804D06">
        <w:rPr>
          <w:i/>
        </w:rPr>
        <w:t>Phytophthora</w:t>
      </w:r>
      <w:r w:rsidRPr="00804D06">
        <w:rPr>
          <w:i/>
          <w:lang w:val="bg-BG"/>
        </w:rPr>
        <w:t xml:space="preserve"> </w:t>
      </w:r>
      <w:r w:rsidRPr="00804D06">
        <w:rPr>
          <w:i/>
        </w:rPr>
        <w:t>sp</w:t>
      </w:r>
      <w:r w:rsidRPr="00804D06">
        <w:rPr>
          <w:lang w:val="bg-BG"/>
        </w:rPr>
        <w:t xml:space="preserve">. </w:t>
      </w:r>
      <w:r w:rsidRPr="00804D06">
        <w:t>kelmania</w:t>
      </w:r>
      <w:r w:rsidRPr="00804D06">
        <w:rPr>
          <w:lang w:val="bg-BG"/>
        </w:rPr>
        <w:t>, а секвенирането на два други ядрени региона (бета-тубулин [</w:t>
      </w:r>
      <w:r w:rsidRPr="00804D06">
        <w:t>Btub</w:t>
      </w:r>
      <w:r w:rsidRPr="00804D06">
        <w:rPr>
          <w:lang w:val="bg-BG"/>
        </w:rPr>
        <w:t>] и транслационния елонгационен фактор 1-алфа [</w:t>
      </w:r>
      <w:r w:rsidRPr="00804D06">
        <w:t>tef</w:t>
      </w:r>
      <w:r w:rsidRPr="00804D06">
        <w:rPr>
          <w:lang w:val="bg-BG"/>
        </w:rPr>
        <w:t xml:space="preserve">1]) разкриха значителен брой полиморфизми, подсказвайки евентуално хибридизационно събитие. Допълнително клониране и секвениране на ядрените </w:t>
      </w:r>
      <w:r w:rsidRPr="00804D06">
        <w:t>ITS</w:t>
      </w:r>
      <w:r w:rsidRPr="00804D06">
        <w:rPr>
          <w:lang w:val="bg-BG"/>
        </w:rPr>
        <w:t xml:space="preserve"> и </w:t>
      </w:r>
      <w:r w:rsidRPr="00804D06">
        <w:t>Btub</w:t>
      </w:r>
      <w:r w:rsidRPr="00804D06">
        <w:rPr>
          <w:lang w:val="bg-BG"/>
        </w:rPr>
        <w:t xml:space="preserve"> региони разкриха наличието на две различни групи алели, едната от които със сходство с вида </w:t>
      </w:r>
      <w:r w:rsidRPr="00804D06">
        <w:rPr>
          <w:i/>
        </w:rPr>
        <w:t>P</w:t>
      </w:r>
      <w:r w:rsidRPr="00804D06">
        <w:rPr>
          <w:i/>
          <w:lang w:val="bg-BG"/>
        </w:rPr>
        <w:t xml:space="preserve">. </w:t>
      </w:r>
      <w:r w:rsidRPr="00804D06">
        <w:rPr>
          <w:i/>
        </w:rPr>
        <w:t>sansomeana</w:t>
      </w:r>
      <w:r w:rsidRPr="00804D06">
        <w:rPr>
          <w:lang w:val="bg-BG"/>
        </w:rPr>
        <w:t xml:space="preserve">, докато другата до неописания вид </w:t>
      </w:r>
      <w:r w:rsidRPr="00804D06">
        <w:rPr>
          <w:i/>
        </w:rPr>
        <w:t>Phytophthora</w:t>
      </w:r>
      <w:r w:rsidRPr="00804D06">
        <w:rPr>
          <w:i/>
          <w:lang w:val="bg-BG"/>
        </w:rPr>
        <w:t xml:space="preserve"> </w:t>
      </w:r>
      <w:r w:rsidRPr="00804D06">
        <w:rPr>
          <w:i/>
        </w:rPr>
        <w:t>sp</w:t>
      </w:r>
      <w:r w:rsidRPr="00804D06">
        <w:rPr>
          <w:lang w:val="bg-BG"/>
        </w:rPr>
        <w:t xml:space="preserve">. </w:t>
      </w:r>
      <w:r w:rsidRPr="00804D06">
        <w:t>kelmania</w:t>
      </w:r>
      <w:r w:rsidRPr="00804D06">
        <w:rPr>
          <w:lang w:val="bg-BG"/>
        </w:rPr>
        <w:t xml:space="preserve">. Ето защо, новият хибрид е наречен </w:t>
      </w:r>
      <w:r w:rsidRPr="00804D06">
        <w:rPr>
          <w:i/>
        </w:rPr>
        <w:t>Phytophthora</w:t>
      </w:r>
      <w:r w:rsidRPr="00804D06">
        <w:rPr>
          <w:i/>
          <w:lang w:val="bg-BG"/>
        </w:rPr>
        <w:t xml:space="preserve"> </w:t>
      </w:r>
      <w:r w:rsidRPr="00804D06">
        <w:rPr>
          <w:i/>
        </w:rPr>
        <w:t>x</w:t>
      </w:r>
      <w:r w:rsidRPr="00804D06">
        <w:rPr>
          <w:lang w:val="bg-BG"/>
        </w:rPr>
        <w:t xml:space="preserve"> </w:t>
      </w:r>
      <w:r w:rsidRPr="00804D06">
        <w:t>sansomeana</w:t>
      </w:r>
      <w:r w:rsidRPr="00804D06">
        <w:rPr>
          <w:lang w:val="bg-BG"/>
        </w:rPr>
        <w:t xml:space="preserve">. Той се характеризира с бърз растеж върху среда </w:t>
      </w:r>
      <w:r w:rsidRPr="00804D06">
        <w:t>V</w:t>
      </w:r>
      <w:r w:rsidRPr="00804D06">
        <w:rPr>
          <w:lang w:val="bg-BG"/>
        </w:rPr>
        <w:t>8 (</w:t>
      </w:r>
      <w:r w:rsidRPr="00804D06">
        <w:t>V</w:t>
      </w:r>
      <w:r w:rsidRPr="00804D06">
        <w:rPr>
          <w:lang w:val="bg-BG"/>
        </w:rPr>
        <w:t>8</w:t>
      </w:r>
      <w:r w:rsidRPr="00804D06">
        <w:t>A</w:t>
      </w:r>
      <w:r w:rsidRPr="00804D06">
        <w:rPr>
          <w:lang w:val="bg-BG"/>
        </w:rPr>
        <w:t>) и морковен агар (</w:t>
      </w:r>
      <w:r w:rsidRPr="00804D06">
        <w:t>CA</w:t>
      </w:r>
      <w:r w:rsidRPr="00804D06">
        <w:rPr>
          <w:lang w:val="bg-BG"/>
        </w:rPr>
        <w:t>), умерен въздушен мицел с лъчевиден растеж на колониите и относително по-бавен темп на растеж върху малцов екстракт (</w:t>
      </w:r>
      <w:r w:rsidRPr="00804D06">
        <w:t>MEA</w:t>
      </w:r>
      <w:r w:rsidRPr="00804D06">
        <w:rPr>
          <w:lang w:val="bg-BG"/>
        </w:rPr>
        <w:t>) и картофено-декстрозен агар (</w:t>
      </w:r>
      <w:r w:rsidRPr="00804D06">
        <w:t>PDA</w:t>
      </w:r>
      <w:r w:rsidRPr="00804D06">
        <w:rPr>
          <w:lang w:val="bg-BG"/>
        </w:rPr>
        <w:t xml:space="preserve">), както и петалоиден до розоцветен растеж на колониите с пухкав въздушен мицел. Оптималната температура на растеж за </w:t>
      </w:r>
      <w:r w:rsidRPr="00804D06">
        <w:rPr>
          <w:i/>
        </w:rPr>
        <w:t>P</w:t>
      </w:r>
      <w:r w:rsidRPr="00804D06">
        <w:rPr>
          <w:i/>
          <w:lang w:val="bg-BG"/>
        </w:rPr>
        <w:t xml:space="preserve">. </w:t>
      </w:r>
      <w:r w:rsidRPr="00804D06">
        <w:rPr>
          <w:i/>
        </w:rPr>
        <w:t>x</w:t>
      </w:r>
      <w:r w:rsidRPr="00804D06">
        <w:rPr>
          <w:lang w:val="bg-BG"/>
        </w:rPr>
        <w:t xml:space="preserve"> </w:t>
      </w:r>
      <w:r w:rsidRPr="00804D06">
        <w:t>sansomeana</w:t>
      </w:r>
      <w:r w:rsidRPr="00804D06">
        <w:rPr>
          <w:lang w:val="bg-BG"/>
        </w:rPr>
        <w:t xml:space="preserve"> е 25°</w:t>
      </w:r>
      <w:r w:rsidRPr="00804D06">
        <w:t>C</w:t>
      </w:r>
      <w:r w:rsidRPr="00804D06">
        <w:rPr>
          <w:lang w:val="bg-BG"/>
        </w:rPr>
        <w:t xml:space="preserve">, със среден темп на растеж от 9 </w:t>
      </w:r>
      <w:r w:rsidRPr="00804D06">
        <w:t>mm</w:t>
      </w:r>
      <w:r w:rsidRPr="00804D06">
        <w:rPr>
          <w:lang w:val="bg-BG"/>
        </w:rPr>
        <w:t xml:space="preserve"> на ден. Наблюдавано е обилно образуване на спорангии на изолата в изворна вода, но хибридът е стерилен в култура. Анализите на патогенността на хибрида са проведени в сравнение с най-близкородствения вид от подклад 8</w:t>
      </w:r>
      <w:r w:rsidRPr="00804D06">
        <w:t>a</w:t>
      </w:r>
      <w:r w:rsidRPr="00804D06">
        <w:rPr>
          <w:lang w:val="bg-BG"/>
        </w:rPr>
        <w:t xml:space="preserve"> от нашата колекция, </w:t>
      </w:r>
      <w:r w:rsidRPr="00804D06">
        <w:rPr>
          <w:i/>
        </w:rPr>
        <w:t>P</w:t>
      </w:r>
      <w:r w:rsidRPr="00804D06">
        <w:rPr>
          <w:i/>
          <w:lang w:val="bg-BG"/>
        </w:rPr>
        <w:t xml:space="preserve">. </w:t>
      </w:r>
      <w:r w:rsidRPr="00804D06">
        <w:rPr>
          <w:i/>
        </w:rPr>
        <w:t>pseudocryptogea</w:t>
      </w:r>
      <w:r w:rsidRPr="00804D06">
        <w:rPr>
          <w:lang w:val="bg-BG"/>
        </w:rPr>
        <w:t xml:space="preserve">. Инхибиращият ефект върху растежа на корените на млади бобови растения, обикновен грах и фий, както и върху резници на декоративното растение колеус, индуциран от двата фитопатогена, е значителен. Не е наблюдаван ефект нито на новия хибрид, нито на </w:t>
      </w:r>
      <w:r w:rsidRPr="00804D06">
        <w:rPr>
          <w:i/>
        </w:rPr>
        <w:t>P</w:t>
      </w:r>
      <w:r w:rsidRPr="00804D06">
        <w:rPr>
          <w:i/>
          <w:lang w:val="bg-BG"/>
        </w:rPr>
        <w:t xml:space="preserve">. </w:t>
      </w:r>
      <w:r w:rsidRPr="00804D06">
        <w:rPr>
          <w:i/>
        </w:rPr>
        <w:t>pseudocryptogea</w:t>
      </w:r>
      <w:r w:rsidRPr="00804D06">
        <w:rPr>
          <w:lang w:val="bg-BG"/>
        </w:rPr>
        <w:t xml:space="preserve"> върху растежа на млади растения царевица.</w:t>
      </w:r>
    </w:p>
    <w:p w:rsidR="006E00D9" w:rsidRDefault="006E00D9" w:rsidP="00D23BD9">
      <w:pPr>
        <w:jc w:val="both"/>
        <w:rPr>
          <w:lang w:val="bg-BG"/>
        </w:rPr>
      </w:pPr>
    </w:p>
    <w:p w:rsidR="006E00D9" w:rsidRPr="00804D06" w:rsidRDefault="006E00D9" w:rsidP="00D23BD9">
      <w:pPr>
        <w:pStyle w:val="NormalWeb"/>
        <w:numPr>
          <w:ilvl w:val="0"/>
          <w:numId w:val="1"/>
        </w:numPr>
        <w:spacing w:before="0" w:beforeAutospacing="0" w:after="0" w:afterAutospacing="0" w:line="276" w:lineRule="auto"/>
        <w:jc w:val="both"/>
      </w:pPr>
      <w:r w:rsidRPr="00804D06">
        <w:lastRenderedPageBreak/>
        <w:t xml:space="preserve">Christiaens, O., Sweet, J., Dzhambazova, T., Urru, I., Smagghe, G., </w:t>
      </w:r>
      <w:r w:rsidRPr="00804D06">
        <w:rPr>
          <w:b/>
        </w:rPr>
        <w:t>Kostov, K.</w:t>
      </w:r>
      <w:r w:rsidRPr="00804D06">
        <w:t xml:space="preserve">, Arpaia, S. (2022) Implementation of RNAi-based arthropod pest control: environmental risks, potential for resistance and regulatory considerations. Journal of Pest Science 95(1), 1–15. </w:t>
      </w:r>
      <w:r w:rsidRPr="00C51DA1">
        <w:rPr>
          <w:b/>
        </w:rPr>
        <w:t>(</w:t>
      </w:r>
      <w:r w:rsidR="002008A5">
        <w:rPr>
          <w:b/>
        </w:rPr>
        <w:t>В4.</w:t>
      </w:r>
      <w:r w:rsidRPr="00C51DA1">
        <w:rPr>
          <w:b/>
        </w:rPr>
        <w:t>10)</w:t>
      </w:r>
    </w:p>
    <w:p w:rsidR="006E00D9" w:rsidRPr="00804D06" w:rsidRDefault="006E00D9" w:rsidP="00D23BD9">
      <w:pPr>
        <w:pStyle w:val="NormalWeb"/>
        <w:spacing w:before="0" w:beforeAutospacing="0" w:after="0" w:afterAutospacing="0" w:line="276" w:lineRule="auto"/>
        <w:ind w:left="360"/>
        <w:jc w:val="both"/>
        <w:rPr>
          <w:lang w:val="bg-BG"/>
        </w:rPr>
      </w:pPr>
    </w:p>
    <w:p w:rsidR="006E00D9" w:rsidRPr="00804D06" w:rsidRDefault="006E00D9" w:rsidP="00D23BD9">
      <w:pPr>
        <w:pStyle w:val="NormalWeb"/>
        <w:spacing w:before="0" w:beforeAutospacing="0" w:after="0" w:afterAutospacing="0" w:line="276" w:lineRule="auto"/>
        <w:jc w:val="both"/>
        <w:rPr>
          <w:lang w:val="en-GB"/>
        </w:rPr>
      </w:pPr>
      <w:r w:rsidRPr="00804D06">
        <w:rPr>
          <w:lang w:val="en-GB"/>
        </w:rPr>
        <w:t>Implementation of RNAi-based arthropod pest control: environmental risks, potential for resistance and regulatory considerations</w:t>
      </w:r>
    </w:p>
    <w:p w:rsidR="006E00D9" w:rsidRPr="00804D06" w:rsidRDefault="006E00D9" w:rsidP="00D23BD9">
      <w:pPr>
        <w:pStyle w:val="NormalWeb"/>
        <w:spacing w:before="0" w:beforeAutospacing="0" w:after="0" w:afterAutospacing="0" w:line="276" w:lineRule="auto"/>
        <w:ind w:left="360"/>
        <w:jc w:val="both"/>
        <w:rPr>
          <w:lang w:val="en-GB"/>
        </w:rPr>
      </w:pPr>
    </w:p>
    <w:p w:rsidR="006E00D9" w:rsidRPr="00804D06" w:rsidRDefault="006E00D9" w:rsidP="00D23BD9">
      <w:pPr>
        <w:pStyle w:val="NormalWeb"/>
        <w:spacing w:before="0" w:beforeAutospacing="0" w:after="0" w:afterAutospacing="0" w:line="276" w:lineRule="auto"/>
        <w:jc w:val="both"/>
        <w:rPr>
          <w:lang w:val="en-GB"/>
        </w:rPr>
      </w:pPr>
      <w:r w:rsidRPr="00804D06">
        <w:rPr>
          <w:lang w:val="en-GB"/>
        </w:rPr>
        <w:t>Abstract</w:t>
      </w:r>
    </w:p>
    <w:p w:rsidR="006E00D9" w:rsidRPr="00804D06" w:rsidRDefault="006E00D9" w:rsidP="00D23BD9">
      <w:pPr>
        <w:pStyle w:val="NormalWeb"/>
        <w:spacing w:before="0" w:beforeAutospacing="0" w:after="0" w:afterAutospacing="0" w:line="276" w:lineRule="auto"/>
        <w:jc w:val="both"/>
        <w:rPr>
          <w:lang w:val="bg-BG"/>
        </w:rPr>
      </w:pPr>
      <w:r w:rsidRPr="00804D06">
        <w:t xml:space="preserve">Just over 20 years since the RNA interference (RNAi) mechanism was unraveled in the nematode </w:t>
      </w:r>
      <w:r w:rsidRPr="00804D06">
        <w:rPr>
          <w:i/>
        </w:rPr>
        <w:t>Caenorhabditis elegans</w:t>
      </w:r>
      <w:r w:rsidRPr="00804D06">
        <w:t>, the first RNAi-based pest control applications are close to commercialization. One of the most alluring aspects of this technology is its predicted minimal impact on the environment, due to high target selectivity and the short persistence of the active molecules in the environment. However, gaps of knowledge on the RNAi mechanism in many species and their implications for biosafety still exist. In this review, we present a comprehensive overview of the research conducted in this field. We discuss potential in planta and topical application methods in the field and their consequences regarding potential exposure in diﬀerent non-target organisms (NTOs). While RNAi is assumed to be highly species selective, due to its sequence-guided mode of action, dsRNA design will determine how selective a product is. We also discuss molecular and cellular mechanisms aﬀecting RNAi eﬃcacy and how these could become a basis for the emergence of resistance against RNAi-based control products and highlight the need for resistance management. Finally, we briefly discuss recommendations for environmental risk assessment (ERA), such as the value of bioinformatics and the development of properly designed bioassays to predict eﬀects in NTOs or to select NTOs for informing ERA.</w:t>
      </w:r>
    </w:p>
    <w:p w:rsidR="006E00D9" w:rsidRPr="00804D06" w:rsidRDefault="006E00D9" w:rsidP="00D23BD9">
      <w:pPr>
        <w:pStyle w:val="NormalWeb"/>
        <w:spacing w:before="0" w:beforeAutospacing="0" w:after="0" w:afterAutospacing="0" w:line="276" w:lineRule="auto"/>
        <w:ind w:left="360"/>
        <w:jc w:val="both"/>
        <w:rPr>
          <w:lang w:val="bg-BG"/>
        </w:rPr>
      </w:pPr>
    </w:p>
    <w:p w:rsidR="006E00D9" w:rsidRPr="00804D06" w:rsidRDefault="006E00D9" w:rsidP="00D23BD9">
      <w:pPr>
        <w:pStyle w:val="NormalWeb"/>
        <w:spacing w:before="0" w:beforeAutospacing="0" w:after="0" w:afterAutospacing="0" w:line="276" w:lineRule="auto"/>
        <w:jc w:val="both"/>
        <w:rPr>
          <w:lang w:val="bg-BG"/>
        </w:rPr>
      </w:pPr>
      <w:r w:rsidRPr="00804D06">
        <w:rPr>
          <w:lang w:val="bg-BG"/>
        </w:rPr>
        <w:t>Приложение на RNAi-базиран контрол на насекомни вредители: екологични рискове, потенциал за резистентност и регулаторни съображения</w:t>
      </w:r>
    </w:p>
    <w:p w:rsidR="006E00D9" w:rsidRPr="00804D06" w:rsidRDefault="006E00D9" w:rsidP="00D23BD9">
      <w:pPr>
        <w:pStyle w:val="NormalWeb"/>
        <w:spacing w:before="0" w:beforeAutospacing="0" w:after="0" w:afterAutospacing="0" w:line="276" w:lineRule="auto"/>
        <w:ind w:left="360"/>
        <w:jc w:val="both"/>
        <w:rPr>
          <w:lang w:val="bg-BG"/>
        </w:rPr>
      </w:pPr>
    </w:p>
    <w:p w:rsidR="006E00D9" w:rsidRPr="00804D06" w:rsidRDefault="006E00D9" w:rsidP="00D23BD9">
      <w:pPr>
        <w:pStyle w:val="NormalWeb"/>
        <w:spacing w:before="0" w:beforeAutospacing="0" w:after="0" w:afterAutospacing="0" w:line="276" w:lineRule="auto"/>
        <w:jc w:val="both"/>
        <w:rPr>
          <w:lang w:val="bg-BG"/>
        </w:rPr>
      </w:pPr>
      <w:r w:rsidRPr="00804D06">
        <w:rPr>
          <w:lang w:val="bg-BG"/>
        </w:rPr>
        <w:t>Резюме</w:t>
      </w:r>
    </w:p>
    <w:p w:rsidR="006E00D9" w:rsidRPr="00804D06" w:rsidRDefault="006E00D9" w:rsidP="00D23BD9">
      <w:pPr>
        <w:pStyle w:val="NormalWeb"/>
        <w:spacing w:before="0" w:beforeAutospacing="0" w:after="0" w:afterAutospacing="0" w:line="276" w:lineRule="auto"/>
        <w:jc w:val="both"/>
        <w:rPr>
          <w:lang w:val="bg-BG"/>
        </w:rPr>
      </w:pPr>
      <w:r w:rsidRPr="00804D06">
        <w:rPr>
          <w:lang w:val="bg-BG"/>
        </w:rPr>
        <w:t>Малко повече от 20 години след разкриването на механизма на РНК интерференция (</w:t>
      </w:r>
      <w:r w:rsidRPr="00804D06">
        <w:t>RNAi</w:t>
      </w:r>
      <w:r w:rsidRPr="00804D06">
        <w:rPr>
          <w:lang w:val="bg-BG"/>
        </w:rPr>
        <w:t xml:space="preserve">) при нематода </w:t>
      </w:r>
      <w:r w:rsidRPr="00804D06">
        <w:rPr>
          <w:i/>
        </w:rPr>
        <w:t>Caenorhabditis</w:t>
      </w:r>
      <w:r w:rsidRPr="00804D06">
        <w:rPr>
          <w:i/>
          <w:lang w:val="bg-BG"/>
        </w:rPr>
        <w:t xml:space="preserve"> </w:t>
      </w:r>
      <w:r w:rsidRPr="00804D06">
        <w:rPr>
          <w:i/>
        </w:rPr>
        <w:t>elegans</w:t>
      </w:r>
      <w:r w:rsidRPr="00804D06">
        <w:rPr>
          <w:lang w:val="bg-BG"/>
        </w:rPr>
        <w:t xml:space="preserve">, първите приложения за контрол на вредителите, базирани на </w:t>
      </w:r>
      <w:r w:rsidRPr="00804D06">
        <w:t>RNAi</w:t>
      </w:r>
      <w:r w:rsidRPr="00804D06">
        <w:rPr>
          <w:lang w:val="bg-BG"/>
        </w:rPr>
        <w:t xml:space="preserve">, са близо до комерсиализация. Един от най-привлекателните аспекти на тази технология е предполагаемото минимално въздействие върху околната среда, поради високата селективност и бързия разпад на активните молекули в околната среда. Въпреки това, все още съществуват пролуки в разбирането за механизма на </w:t>
      </w:r>
      <w:r w:rsidRPr="00804D06">
        <w:t>RNAi</w:t>
      </w:r>
      <w:r w:rsidRPr="00804D06">
        <w:rPr>
          <w:lang w:val="bg-BG"/>
        </w:rPr>
        <w:t xml:space="preserve"> при много видове, което поражда съмнения за биобезопасността на технологията. В това ревю представяме цялостен преглед на проведените изследвания в тази област. Дискутирани са потенциалните методи на приложение: чрез експресия в растения или повърхностно, със специфичните за всеки начини за евентуално неблагоприятно въздействие, по отношение на излагането на различни нецелеви организми (</w:t>
      </w:r>
      <w:r w:rsidRPr="00804D06">
        <w:t>N</w:t>
      </w:r>
      <w:r w:rsidRPr="00804D06">
        <w:rPr>
          <w:lang w:val="bg-BG"/>
        </w:rPr>
        <w:t xml:space="preserve">ТО). Като цяло </w:t>
      </w:r>
      <w:r w:rsidRPr="00804D06">
        <w:t>RNAi</w:t>
      </w:r>
      <w:r w:rsidRPr="00804D06">
        <w:rPr>
          <w:lang w:val="bg-BG"/>
        </w:rPr>
        <w:t xml:space="preserve"> се приема като изключително </w:t>
      </w:r>
      <w:r w:rsidRPr="00804D06">
        <w:rPr>
          <w:lang w:val="bg-BG"/>
        </w:rPr>
        <w:lastRenderedPageBreak/>
        <w:t xml:space="preserve">селективна за целевия организъм технология за контрол, поради начин на действие, ориентиран към специфична олигонуклеотидна последователност, като съответно дизайнът на </w:t>
      </w:r>
      <w:r w:rsidRPr="00804D06">
        <w:t>dsRNA</w:t>
      </w:r>
      <w:r w:rsidRPr="00804D06">
        <w:rPr>
          <w:lang w:val="bg-BG"/>
        </w:rPr>
        <w:t xml:space="preserve"> определя колко селективен би бил даден продукт. Разгледани са също така молекулярните и клетъчни механизми, влияещи върху ефективността на </w:t>
      </w:r>
      <w:r w:rsidRPr="00804D06">
        <w:t>RNAi</w:t>
      </w:r>
      <w:r w:rsidRPr="00804D06">
        <w:rPr>
          <w:lang w:val="bg-BG"/>
        </w:rPr>
        <w:t xml:space="preserve">, и как те биха могли да се превърнат в основа за появата на резистентност срещу продуктите за растителна защита, базирани на </w:t>
      </w:r>
      <w:r w:rsidRPr="00804D06">
        <w:t>RNAi</w:t>
      </w:r>
      <w:r w:rsidRPr="00804D06">
        <w:rPr>
          <w:lang w:val="bg-BG"/>
        </w:rPr>
        <w:t>, и подчертаваме необходимостта от управляване на риска за развитие на резистентност. Накрая, накратко даваме препоръки за оценката на риска за околната среда (</w:t>
      </w:r>
      <w:r w:rsidRPr="00804D06">
        <w:t>ERA</w:t>
      </w:r>
      <w:r w:rsidRPr="00804D06">
        <w:rPr>
          <w:lang w:val="bg-BG"/>
        </w:rPr>
        <w:t xml:space="preserve">), като например приносът на биоинформатиката и провеждането на добре планирани биологични експерименти за предвиждане на ефектите върху </w:t>
      </w:r>
      <w:r w:rsidRPr="00804D06">
        <w:t>NTO</w:t>
      </w:r>
      <w:r w:rsidRPr="00804D06">
        <w:rPr>
          <w:lang w:val="bg-BG"/>
        </w:rPr>
        <w:t xml:space="preserve"> или за изборът на </w:t>
      </w:r>
      <w:r w:rsidRPr="00804D06">
        <w:t>NTO</w:t>
      </w:r>
      <w:r w:rsidRPr="00804D06">
        <w:rPr>
          <w:lang w:val="bg-BG"/>
        </w:rPr>
        <w:t xml:space="preserve"> за провеждането на </w:t>
      </w:r>
      <w:r w:rsidRPr="00804D06">
        <w:t>ERA</w:t>
      </w:r>
      <w:r w:rsidRPr="00804D06">
        <w:rPr>
          <w:lang w:val="bg-BG"/>
        </w:rPr>
        <w:t>.</w:t>
      </w:r>
    </w:p>
    <w:p w:rsidR="006E00D9" w:rsidRDefault="006E00D9" w:rsidP="00D23BD9">
      <w:pPr>
        <w:jc w:val="both"/>
        <w:rPr>
          <w:lang w:val="bg-BG"/>
        </w:rPr>
      </w:pPr>
    </w:p>
    <w:p w:rsidR="004A31B6" w:rsidRPr="00804D06" w:rsidRDefault="004A31B6" w:rsidP="00D23BD9">
      <w:pPr>
        <w:pStyle w:val="NormalWeb"/>
        <w:numPr>
          <w:ilvl w:val="0"/>
          <w:numId w:val="1"/>
        </w:numPr>
        <w:spacing w:before="0" w:beforeAutospacing="0" w:after="0" w:afterAutospacing="0" w:line="276" w:lineRule="auto"/>
        <w:jc w:val="both"/>
      </w:pPr>
      <w:r w:rsidRPr="00804D06">
        <w:rPr>
          <w:b/>
        </w:rPr>
        <w:t>Kostov, K.</w:t>
      </w:r>
      <w:r w:rsidRPr="00804D06">
        <w:t xml:space="preserve">, Sweet, J.B. (2014) What are the effects of the cultivation of GM herbicide tolerant crops on botanical diversity? A systematic review protocol. Environmental Evidence 3(1), 10. </w:t>
      </w:r>
      <w:r w:rsidRPr="009930DC">
        <w:rPr>
          <w:b/>
        </w:rPr>
        <w:t>(</w:t>
      </w:r>
      <w:r w:rsidR="002008A5">
        <w:rPr>
          <w:b/>
        </w:rPr>
        <w:t>Г7.</w:t>
      </w:r>
      <w:r w:rsidRPr="009930DC">
        <w:rPr>
          <w:b/>
        </w:rPr>
        <w:t>1)</w:t>
      </w:r>
    </w:p>
    <w:p w:rsidR="004A31B6" w:rsidRPr="00804D06" w:rsidRDefault="004A31B6" w:rsidP="00D23BD9">
      <w:pPr>
        <w:pStyle w:val="NormalWeb"/>
        <w:spacing w:before="0" w:beforeAutospacing="0" w:after="0" w:afterAutospacing="0" w:line="276" w:lineRule="auto"/>
        <w:jc w:val="both"/>
        <w:rPr>
          <w:b/>
        </w:rPr>
      </w:pPr>
    </w:p>
    <w:p w:rsidR="004A31B6" w:rsidRPr="00804D06" w:rsidRDefault="004A31B6" w:rsidP="00D23BD9">
      <w:pPr>
        <w:pStyle w:val="NormalWeb"/>
        <w:spacing w:before="0" w:beforeAutospacing="0" w:after="0" w:afterAutospacing="0" w:line="276" w:lineRule="auto"/>
        <w:jc w:val="both"/>
      </w:pPr>
      <w:r w:rsidRPr="00804D06">
        <w:t>What are the effects of the cultivation of GM herbicide tolerant crops on botanical diversity? A systematic review protocol</w:t>
      </w:r>
    </w:p>
    <w:p w:rsidR="004A31B6" w:rsidRPr="00804D06" w:rsidRDefault="004A31B6" w:rsidP="00D23BD9">
      <w:pPr>
        <w:pStyle w:val="NormalWeb"/>
        <w:spacing w:before="0" w:beforeAutospacing="0" w:after="0" w:afterAutospacing="0" w:line="276" w:lineRule="auto"/>
        <w:jc w:val="both"/>
      </w:pPr>
    </w:p>
    <w:p w:rsidR="004A31B6" w:rsidRPr="00804D06" w:rsidRDefault="004A31B6" w:rsidP="00D23BD9">
      <w:pPr>
        <w:pStyle w:val="NormalWeb"/>
        <w:spacing w:before="0" w:beforeAutospacing="0" w:after="0" w:afterAutospacing="0" w:line="276" w:lineRule="auto"/>
        <w:jc w:val="both"/>
      </w:pPr>
      <w:r w:rsidRPr="00804D06">
        <w:t>Abstract</w:t>
      </w:r>
    </w:p>
    <w:p w:rsidR="004A31B6" w:rsidRPr="00804D06" w:rsidRDefault="004A31B6" w:rsidP="00D23BD9">
      <w:pPr>
        <w:pStyle w:val="NormalWeb"/>
        <w:spacing w:before="0" w:beforeAutospacing="0" w:after="0" w:afterAutospacing="0" w:line="276" w:lineRule="auto"/>
        <w:jc w:val="both"/>
      </w:pPr>
      <w:r w:rsidRPr="00804D06">
        <w:t xml:space="preserve">Background: There are concerns that the cultivation of genetically modified herbicide tolerant (GMHT) crops treated with broad spectrum herbicides will cause declines in botanical diversity and hence loss of biodiversity. Cultivation systems of these have different levels of inputs and management interventions and some incorporate the use of minimal/no tillage. Research results show a range of effects and the priority is to determine whether research studies show shifts in botanical diversity and/or declines in plant populations in GMHT compared with conventionally managed crops. </w:t>
      </w:r>
    </w:p>
    <w:p w:rsidR="004A31B6" w:rsidRPr="00804D06" w:rsidRDefault="004A31B6" w:rsidP="00D23BD9">
      <w:pPr>
        <w:pStyle w:val="NormalWeb"/>
        <w:spacing w:before="0" w:beforeAutospacing="0" w:after="0" w:afterAutospacing="0" w:line="276" w:lineRule="auto"/>
        <w:jc w:val="both"/>
      </w:pPr>
      <w:r w:rsidRPr="00804D06">
        <w:t xml:space="preserve">Methods: We will perform a rigorous review of studies of plant populations in fields and field margins of GMHT crops by complying with CEE requirements for Systematic Reviews (SR) and the EFSA Guidance on Systematic Reviewing. A Review Protocol (RP) is presented for the SR of data from field studies of GMHT crops, comparing the effects of GM crop, herbicide regimes and associated management applied to HT crops with conventional crops and their weed management for impacts on plant populations in fields and field margins as assessment end points or indicators of impacts on botanical diversity and associated food chain and ecosystem services effects. The literature search will include all the main GMHT crops including maize, soya, oilseed rape, sugar beet, cotton and rice. The keywords will be broad and the search strategy is developed to capture all literature relevant to the primary objective of the review. The range of data bases for the searches is described and all articles discovered in the searches will be collated by Endnote. The criteria against which studies will be included in the review and how they will be assessed are described. They include appropriate study designs, statistical power and comparators. The RP outlines the type of analyses that will be performed to assess bias of the selected studies and if </w:t>
      </w:r>
      <w:r w:rsidRPr="00804D06">
        <w:lastRenderedPageBreak/>
        <w:t>covariables describing the heterogeneity of the studies introduce biases. Publications meeting the selection criteria will be filed separately and subjected to more detailed analysis and data on different plant species and types will be analysed separately, to determine outcomes.</w:t>
      </w:r>
    </w:p>
    <w:p w:rsidR="004A31B6" w:rsidRPr="00804D06" w:rsidRDefault="004A31B6" w:rsidP="00D23BD9">
      <w:pPr>
        <w:pStyle w:val="NormalWeb"/>
        <w:spacing w:before="0" w:beforeAutospacing="0" w:after="0" w:afterAutospacing="0" w:line="276" w:lineRule="auto"/>
        <w:jc w:val="both"/>
      </w:pPr>
    </w:p>
    <w:p w:rsidR="004A31B6" w:rsidRPr="00804D06" w:rsidRDefault="004A31B6" w:rsidP="00D23BD9">
      <w:pPr>
        <w:pStyle w:val="NormalWeb"/>
        <w:spacing w:before="0" w:beforeAutospacing="0" w:after="0" w:afterAutospacing="0" w:line="276" w:lineRule="auto"/>
        <w:jc w:val="both"/>
        <w:rPr>
          <w:lang w:val="bg-BG"/>
        </w:rPr>
      </w:pPr>
      <w:r w:rsidRPr="00804D06">
        <w:rPr>
          <w:lang w:val="bg-BG"/>
        </w:rPr>
        <w:t>Какви са ефектите от отглеждането на генетично модифицирани хербицид-устойчиви култури върху ботаническото разнообразие? Протокол за систематично ревю</w:t>
      </w:r>
    </w:p>
    <w:p w:rsidR="004A31B6" w:rsidRPr="00804D06" w:rsidRDefault="004A31B6" w:rsidP="00D23BD9">
      <w:pPr>
        <w:pStyle w:val="NormalWeb"/>
        <w:spacing w:before="0" w:beforeAutospacing="0" w:after="0" w:afterAutospacing="0" w:line="276" w:lineRule="auto"/>
        <w:jc w:val="both"/>
        <w:rPr>
          <w:lang w:val="bg-BG"/>
        </w:rPr>
      </w:pPr>
    </w:p>
    <w:p w:rsidR="004A31B6" w:rsidRPr="00804D06" w:rsidRDefault="004A31B6" w:rsidP="00D23BD9">
      <w:pPr>
        <w:pStyle w:val="NormalWeb"/>
        <w:spacing w:before="0" w:beforeAutospacing="0" w:after="0" w:afterAutospacing="0" w:line="276" w:lineRule="auto"/>
        <w:jc w:val="both"/>
        <w:rPr>
          <w:lang w:val="bg-BG"/>
        </w:rPr>
      </w:pPr>
      <w:r w:rsidRPr="00804D06">
        <w:rPr>
          <w:lang w:val="bg-BG"/>
        </w:rPr>
        <w:t>Резюме</w:t>
      </w:r>
    </w:p>
    <w:p w:rsidR="004A31B6" w:rsidRPr="00804D06" w:rsidRDefault="004A31B6" w:rsidP="00D23BD9">
      <w:pPr>
        <w:pStyle w:val="NormalWeb"/>
        <w:spacing w:before="0" w:beforeAutospacing="0" w:after="0" w:afterAutospacing="0" w:line="276" w:lineRule="auto"/>
        <w:jc w:val="both"/>
        <w:rPr>
          <w:lang w:val="bg-BG"/>
        </w:rPr>
      </w:pPr>
      <w:r w:rsidRPr="00804D06">
        <w:rPr>
          <w:lang w:val="bg-BG"/>
        </w:rPr>
        <w:t>Въведение: Съществуват опасения, че отглеждането на генетично модифицирани хербицид-толерантни (ГМХТ) култури, третирани с широкоспектърни хербициди, ще доведе до намаляване на ботаническото разнообразие и следователно до загуба на биоразнообразие. Методите за отглеждане на тези култури имат различни материални  изисквания и практики на култивиране, като някой се базират на използването на минимална обработка. Резултатите от изследванията разглеждат различни ефекти и приоритетът е да се определи дали проучванията показват промени в ботаническото разнообразие и/или намаляване на растителните популации при използването на ГМХТ култури в сравнение с конвенционално отглежданите култури.</w:t>
      </w:r>
    </w:p>
    <w:p w:rsidR="004A31B6" w:rsidRPr="00804D06" w:rsidRDefault="004A31B6" w:rsidP="00D23BD9">
      <w:pPr>
        <w:pStyle w:val="NormalWeb"/>
        <w:spacing w:before="0" w:beforeAutospacing="0" w:after="0" w:afterAutospacing="0" w:line="276" w:lineRule="auto"/>
        <w:jc w:val="both"/>
        <w:rPr>
          <w:lang w:val="bg-BG"/>
        </w:rPr>
      </w:pPr>
      <w:r w:rsidRPr="00804D06">
        <w:rPr>
          <w:lang w:val="bg-BG"/>
        </w:rPr>
        <w:t xml:space="preserve">Методи: Ще бъде извършен цялостен преглед на проучванията на растителните популации в полета засети с ГМХТ култури и техните гранични зони, следвайки изискванията на CEE и ръководството на EFSA за провеждане на систематични ревюта (Systematic review, SR). Тук представяме протокол за провеждането на систематично ревю (RP) на данни от полеви проучвания на ГМХТ култури, сравняващи ефектите от генетично модифицираните култури, хербицидните режими и свързаните с ГМХТ култури практики на култивиране с тези на конвенционалните култури и съответните практики за контрол на плевелите, изразяващи се във въздействието им върху растителните популации в полетата и граничните зони като крайни измерими показатели или индикатори за въздействие върху ботаническото разнообразие и свързаните с тях ефекти върху хранителната верига и екосистемните услуги. Търсенето на литература ще включва всички основни GMHT култури, включително царевица, соя, маслодайна рапица, захарно цвекло, памук и ориз. Ключовите думи ще бъдат с широк обхват, а стратегията за търсене е разработена така че, да обхване цялата литература, имаща отношение към основната цел на ревюто. Описан е обхватът на базите данни за провиждане на търсенията, а всички открити при търсенията статии, ще бъдат съхранени чрез програмата Endnote. Описани са критериите, по които проучванията ще бъдат включени в прегледа и как ще бъдат оценени. Те включват изисквания свързани с подходящ дизайни на проучването, статистическата сила и адекватност на направените сравнения. Протоколът описва анализите, които ще бъдат извършени за оценка на субективността на избраните проучвания и дали странични фактори, описващи хетерогенността на проучванията са източник на системни грешки. Публикациите, отговарящи на критериите за подбор, ще бъдат съхранени отделно и </w:t>
      </w:r>
      <w:r w:rsidRPr="00804D06">
        <w:rPr>
          <w:lang w:val="bg-BG"/>
        </w:rPr>
        <w:lastRenderedPageBreak/>
        <w:t>подложени на по-подробен анализ, а при разглеждане на резултатите данните за различните видове и типове растения ще бъдат анализирани отделно.</w:t>
      </w:r>
    </w:p>
    <w:p w:rsidR="004A31B6" w:rsidRDefault="004A31B6" w:rsidP="00D23BD9">
      <w:pPr>
        <w:jc w:val="both"/>
        <w:rPr>
          <w:lang w:val="bg-BG"/>
        </w:rPr>
      </w:pPr>
    </w:p>
    <w:p w:rsidR="004A31B6" w:rsidRPr="00091CF1" w:rsidRDefault="004A31B6" w:rsidP="00D23BD9">
      <w:pPr>
        <w:pStyle w:val="NormalWeb"/>
        <w:numPr>
          <w:ilvl w:val="0"/>
          <w:numId w:val="1"/>
        </w:numPr>
        <w:spacing w:before="0" w:beforeAutospacing="0" w:after="0" w:afterAutospacing="0" w:line="276" w:lineRule="auto"/>
        <w:jc w:val="both"/>
        <w:rPr>
          <w:b/>
        </w:rPr>
      </w:pPr>
      <w:r w:rsidRPr="00804D06">
        <w:t xml:space="preserve">Kirilova, I., Denev, I.D., Bineva, R., Gevezova, M., Alexandrova, M., </w:t>
      </w:r>
      <w:r w:rsidRPr="00804D06">
        <w:rPr>
          <w:b/>
        </w:rPr>
        <w:t>Kostov, K.</w:t>
      </w:r>
      <w:r w:rsidRPr="00804D06">
        <w:t xml:space="preserve">, Batchvarova, R. (2014) Identification of activation-tag Arabidopsis mutants with altered production of germination stimulants for </w:t>
      </w:r>
      <w:r w:rsidRPr="00091CF1">
        <w:rPr>
          <w:i/>
        </w:rPr>
        <w:t>Phelipanche ramosa</w:t>
      </w:r>
      <w:r w:rsidRPr="00804D06">
        <w:t xml:space="preserve"> (L.). Biotechnology &amp; Biotechnological Equipment 28(2), 199–207. </w:t>
      </w:r>
      <w:r w:rsidRPr="00091CF1">
        <w:rPr>
          <w:b/>
        </w:rPr>
        <w:t>(</w:t>
      </w:r>
      <w:r w:rsidR="002008A5">
        <w:rPr>
          <w:b/>
        </w:rPr>
        <w:t>Г7.</w:t>
      </w:r>
      <w:r w:rsidRPr="00091CF1">
        <w:rPr>
          <w:b/>
        </w:rPr>
        <w:t>2)</w:t>
      </w:r>
    </w:p>
    <w:p w:rsidR="004A31B6" w:rsidRPr="00804D06" w:rsidRDefault="004A31B6" w:rsidP="00D23BD9">
      <w:pPr>
        <w:pStyle w:val="NormalWeb"/>
        <w:spacing w:before="0" w:beforeAutospacing="0" w:after="0" w:afterAutospacing="0" w:line="276" w:lineRule="auto"/>
        <w:jc w:val="both"/>
      </w:pPr>
    </w:p>
    <w:p w:rsidR="004A31B6" w:rsidRPr="00804D06" w:rsidRDefault="004A31B6" w:rsidP="00D23BD9">
      <w:pPr>
        <w:pStyle w:val="NormalWeb"/>
        <w:spacing w:before="0" w:beforeAutospacing="0" w:after="0" w:afterAutospacing="0" w:line="276" w:lineRule="auto"/>
        <w:jc w:val="both"/>
      </w:pPr>
      <w:r w:rsidRPr="00804D06">
        <w:t xml:space="preserve">Identification of activation-tag Arabidopsis mutants with altered production of germination stimulants for </w:t>
      </w:r>
      <w:r w:rsidRPr="00091CF1">
        <w:rPr>
          <w:i/>
        </w:rPr>
        <w:t>Phelipanche ramosa</w:t>
      </w:r>
      <w:r w:rsidRPr="00804D06">
        <w:t xml:space="preserve"> (L.)</w:t>
      </w:r>
    </w:p>
    <w:p w:rsidR="004A31B6" w:rsidRPr="00804D06" w:rsidRDefault="004A31B6" w:rsidP="00D23BD9">
      <w:pPr>
        <w:pStyle w:val="NormalWeb"/>
        <w:spacing w:before="0" w:beforeAutospacing="0" w:after="0" w:afterAutospacing="0" w:line="276" w:lineRule="auto"/>
        <w:jc w:val="both"/>
      </w:pPr>
    </w:p>
    <w:p w:rsidR="004A31B6" w:rsidRPr="00804D06" w:rsidRDefault="004A31B6" w:rsidP="00D23BD9">
      <w:pPr>
        <w:pStyle w:val="NormalWeb"/>
        <w:spacing w:before="0" w:beforeAutospacing="0" w:after="0" w:afterAutospacing="0" w:line="276" w:lineRule="auto"/>
        <w:jc w:val="both"/>
      </w:pPr>
      <w:r w:rsidRPr="00804D06">
        <w:t xml:space="preserve">Abstract </w:t>
      </w:r>
    </w:p>
    <w:p w:rsidR="004A31B6" w:rsidRPr="00804D06" w:rsidRDefault="004A31B6" w:rsidP="00D23BD9">
      <w:pPr>
        <w:pStyle w:val="NormalWeb"/>
        <w:spacing w:before="0" w:beforeAutospacing="0" w:after="0" w:afterAutospacing="0" w:line="276" w:lineRule="auto"/>
        <w:jc w:val="both"/>
      </w:pPr>
      <w:r w:rsidRPr="00804D06">
        <w:t xml:space="preserve">Germination of seeds of root parasites like broomrapes (Orobanchaceae) is tightly regulated by chemical products exuded from the roots of the host plant, known as germination stimulants (GSs). Changes in the levels of synthesis and emission of GS can allow the development of practical measures for control of the crops-harming parasitic species. However, the genes encoding enzymes responsible for GS biosynthesis are still unknown. We performed a large-scale screening of 62,000 Arabidopsis activation-tag mutants for alteration in susceptibility to </w:t>
      </w:r>
      <w:r w:rsidRPr="00091CF1">
        <w:rPr>
          <w:i/>
        </w:rPr>
        <w:t>Phelipanche ramosa</w:t>
      </w:r>
      <w:r w:rsidRPr="00804D06">
        <w:t xml:space="preserve"> and to identify lines with altered GS production among them. After five successive screenings we identified 36 lines with altered susceptibility to </w:t>
      </w:r>
      <w:r w:rsidRPr="00804D06">
        <w:rPr>
          <w:i/>
        </w:rPr>
        <w:t>P. ramosa</w:t>
      </w:r>
      <w:r w:rsidRPr="00804D06">
        <w:t xml:space="preserve">. Seven of them displayed altered levels of GS production. By using a combination of Southern blot and thermal asymmetric interlaced polymerase chain reaction (TAIL-PCR), we pinpointed the location of activation-tag constructs in these lines. A combination of differential display and quantitative real-time PCR (qRT-PCR) allowed us to identify several affected genes. Two of them are directly involved in isoprenoid biosynthetic pathway in chloroplasts, and we believe that their activation led to increased levels of GS production. We believe that these genes are responsible for increased GS production in five of the Arabidopsis lines resistant to </w:t>
      </w:r>
      <w:r w:rsidRPr="00804D06">
        <w:rPr>
          <w:i/>
        </w:rPr>
        <w:t>P. ramosa</w:t>
      </w:r>
      <w:r w:rsidRPr="00804D06">
        <w:t xml:space="preserve">. </w:t>
      </w:r>
    </w:p>
    <w:p w:rsidR="004A31B6" w:rsidRPr="00804D06" w:rsidRDefault="004A31B6" w:rsidP="00D23BD9">
      <w:pPr>
        <w:pStyle w:val="NormalWeb"/>
        <w:spacing w:before="0" w:beforeAutospacing="0" w:after="0" w:afterAutospacing="0" w:line="276" w:lineRule="auto"/>
        <w:jc w:val="both"/>
        <w:rPr>
          <w:lang w:val="bg-BG"/>
        </w:rPr>
      </w:pPr>
    </w:p>
    <w:p w:rsidR="004A31B6" w:rsidRPr="00804D06" w:rsidRDefault="004A31B6" w:rsidP="00D23BD9">
      <w:pPr>
        <w:pStyle w:val="NormalWeb"/>
        <w:spacing w:before="0" w:beforeAutospacing="0" w:after="0" w:afterAutospacing="0" w:line="276" w:lineRule="auto"/>
        <w:jc w:val="both"/>
        <w:rPr>
          <w:lang w:val="bg-BG"/>
        </w:rPr>
      </w:pPr>
      <w:r w:rsidRPr="00804D06">
        <w:rPr>
          <w:lang w:val="bg-BG"/>
        </w:rPr>
        <w:t>Идентифициране на мутанти линии Arabidopsis с активационен маркер за променено производство на стимуланти на покълването на Phelipanche ramosa (L.)</w:t>
      </w:r>
    </w:p>
    <w:p w:rsidR="004A31B6" w:rsidRPr="00804D06" w:rsidRDefault="004A31B6" w:rsidP="00D23BD9">
      <w:pPr>
        <w:pStyle w:val="NormalWeb"/>
        <w:spacing w:before="0" w:beforeAutospacing="0" w:after="0" w:afterAutospacing="0" w:line="276" w:lineRule="auto"/>
        <w:jc w:val="both"/>
        <w:rPr>
          <w:lang w:val="bg-BG"/>
        </w:rPr>
      </w:pPr>
    </w:p>
    <w:p w:rsidR="004A31B6" w:rsidRPr="00804D06" w:rsidRDefault="004A31B6" w:rsidP="00D23BD9">
      <w:pPr>
        <w:pStyle w:val="NormalWeb"/>
        <w:spacing w:before="0" w:beforeAutospacing="0" w:after="0" w:afterAutospacing="0" w:line="276" w:lineRule="auto"/>
        <w:jc w:val="both"/>
        <w:rPr>
          <w:lang w:val="bg-BG"/>
        </w:rPr>
      </w:pPr>
      <w:r w:rsidRPr="00804D06">
        <w:rPr>
          <w:lang w:val="bg-BG"/>
        </w:rPr>
        <w:t>Резюме</w:t>
      </w:r>
    </w:p>
    <w:p w:rsidR="004A31B6" w:rsidRPr="00804D06" w:rsidRDefault="004A31B6" w:rsidP="00D23BD9">
      <w:pPr>
        <w:pStyle w:val="NormalWeb"/>
        <w:spacing w:before="0" w:beforeAutospacing="0" w:after="0" w:afterAutospacing="0" w:line="276" w:lineRule="auto"/>
        <w:jc w:val="both"/>
        <w:rPr>
          <w:lang w:val="bg-BG"/>
        </w:rPr>
      </w:pPr>
      <w:r w:rsidRPr="00804D06">
        <w:rPr>
          <w:lang w:val="bg-BG"/>
        </w:rPr>
        <w:t>Покълването на семената на коренови паразити като синя китка (</w:t>
      </w:r>
      <w:r w:rsidRPr="00804D06">
        <w:t>Orobanchaceae</w:t>
      </w:r>
      <w:r w:rsidRPr="00804D06">
        <w:rPr>
          <w:lang w:val="bg-BG"/>
        </w:rPr>
        <w:t>) е строго регулирано от химични продукти, отделяни от корените на растението гостоприемник, известни като стимуланти на покълване (</w:t>
      </w:r>
      <w:r w:rsidRPr="00804D06">
        <w:t>GS</w:t>
      </w:r>
      <w:r w:rsidRPr="00804D06">
        <w:rPr>
          <w:lang w:val="bg-BG"/>
        </w:rPr>
        <w:t xml:space="preserve">). Промените в нивата на синтез и отделяне на </w:t>
      </w:r>
      <w:r w:rsidRPr="00804D06">
        <w:t>GS</w:t>
      </w:r>
      <w:r w:rsidRPr="00804D06">
        <w:rPr>
          <w:lang w:val="bg-BG"/>
        </w:rPr>
        <w:t xml:space="preserve"> могат да позволят разработването на практически мерки за контрол на вредоносни за културните растения, паразитни видове. Гените, кодиращи ензими отговорни за биосинтеза на </w:t>
      </w:r>
      <w:r w:rsidRPr="00804D06">
        <w:t>GS</w:t>
      </w:r>
      <w:r w:rsidRPr="00804D06">
        <w:rPr>
          <w:lang w:val="bg-BG"/>
        </w:rPr>
        <w:t xml:space="preserve">, обаче все още са неизвестни. Проведохме мащабен скрининг на 62 000 мутанта на </w:t>
      </w:r>
      <w:r w:rsidRPr="00804D06">
        <w:t>Arabidopsis</w:t>
      </w:r>
      <w:r w:rsidRPr="00804D06">
        <w:rPr>
          <w:lang w:val="bg-BG"/>
        </w:rPr>
        <w:t xml:space="preserve"> с активационен маркер за промяна в чувствителността към </w:t>
      </w:r>
      <w:r w:rsidRPr="00804D06">
        <w:t>Phelipanche</w:t>
      </w:r>
      <w:r w:rsidRPr="00804D06">
        <w:rPr>
          <w:lang w:val="bg-BG"/>
        </w:rPr>
        <w:t xml:space="preserve"> </w:t>
      </w:r>
      <w:r w:rsidRPr="00804D06">
        <w:t>ramosa</w:t>
      </w:r>
      <w:r w:rsidRPr="00804D06">
        <w:rPr>
          <w:lang w:val="bg-BG"/>
        </w:rPr>
        <w:t xml:space="preserve"> за идентифициране на линии с променено производство на </w:t>
      </w:r>
      <w:r w:rsidRPr="00804D06">
        <w:t>GS</w:t>
      </w:r>
      <w:r w:rsidRPr="00804D06">
        <w:rPr>
          <w:lang w:val="bg-BG"/>
        </w:rPr>
        <w:t xml:space="preserve">. След пет последователни </w:t>
      </w:r>
      <w:r w:rsidRPr="00804D06">
        <w:rPr>
          <w:lang w:val="bg-BG"/>
        </w:rPr>
        <w:lastRenderedPageBreak/>
        <w:t xml:space="preserve">скрининга идентифицирахме 36 линии с променена чувствителност към </w:t>
      </w:r>
      <w:r w:rsidRPr="00804D06">
        <w:rPr>
          <w:i/>
        </w:rPr>
        <w:t>P</w:t>
      </w:r>
      <w:r w:rsidRPr="00804D06">
        <w:rPr>
          <w:i/>
          <w:lang w:val="bg-BG"/>
        </w:rPr>
        <w:t xml:space="preserve">. </w:t>
      </w:r>
      <w:r w:rsidRPr="00804D06">
        <w:rPr>
          <w:i/>
        </w:rPr>
        <w:t>ramosa</w:t>
      </w:r>
      <w:r w:rsidRPr="00804D06">
        <w:rPr>
          <w:lang w:val="bg-BG"/>
        </w:rPr>
        <w:t xml:space="preserve">. Седем от тях показаха променени нива на производство на </w:t>
      </w:r>
      <w:r w:rsidRPr="00804D06">
        <w:t>GS</w:t>
      </w:r>
      <w:r w:rsidRPr="00804D06">
        <w:rPr>
          <w:lang w:val="bg-BG"/>
        </w:rPr>
        <w:t xml:space="preserve">. Чрез използване на комбинация от </w:t>
      </w:r>
      <w:r w:rsidRPr="00804D06">
        <w:t>Southern</w:t>
      </w:r>
      <w:r w:rsidRPr="00804D06">
        <w:rPr>
          <w:lang w:val="bg-BG"/>
        </w:rPr>
        <w:t xml:space="preserve"> </w:t>
      </w:r>
      <w:r w:rsidRPr="00804D06">
        <w:t>blot</w:t>
      </w:r>
      <w:r w:rsidRPr="00804D06">
        <w:rPr>
          <w:lang w:val="bg-BG"/>
        </w:rPr>
        <w:t xml:space="preserve"> и термична асиметрична преплетена полимеразна верижна реакция (</w:t>
      </w:r>
      <w:r w:rsidRPr="00804D06">
        <w:t>TAIL</w:t>
      </w:r>
      <w:r w:rsidRPr="00804D06">
        <w:rPr>
          <w:lang w:val="bg-BG"/>
        </w:rPr>
        <w:t>-</w:t>
      </w:r>
      <w:r w:rsidRPr="00804D06">
        <w:t>PCR</w:t>
      </w:r>
      <w:r w:rsidRPr="00804D06">
        <w:rPr>
          <w:lang w:val="bg-BG"/>
        </w:rPr>
        <w:t>), определихме местоположението на активационните маркер в тези линии. Комбинация от „</w:t>
      </w:r>
      <w:r w:rsidRPr="00804D06">
        <w:t>differential</w:t>
      </w:r>
      <w:r w:rsidRPr="00804D06">
        <w:rPr>
          <w:lang w:val="bg-BG"/>
        </w:rPr>
        <w:t xml:space="preserve"> </w:t>
      </w:r>
      <w:r w:rsidRPr="00804D06">
        <w:t>display</w:t>
      </w:r>
      <w:r w:rsidRPr="00804D06">
        <w:rPr>
          <w:lang w:val="bg-BG"/>
        </w:rPr>
        <w:t xml:space="preserve">“ </w:t>
      </w:r>
      <w:r w:rsidRPr="00804D06">
        <w:t>PCR</w:t>
      </w:r>
      <w:r w:rsidRPr="00804D06">
        <w:rPr>
          <w:lang w:val="bg-BG"/>
        </w:rPr>
        <w:t xml:space="preserve"> и </w:t>
      </w:r>
      <w:r w:rsidRPr="00804D06">
        <w:t>qRT</w:t>
      </w:r>
      <w:r w:rsidRPr="00804D06">
        <w:rPr>
          <w:lang w:val="bg-BG"/>
        </w:rPr>
        <w:t>-</w:t>
      </w:r>
      <w:r w:rsidRPr="00804D06">
        <w:t>PCR</w:t>
      </w:r>
      <w:r w:rsidRPr="00804D06">
        <w:rPr>
          <w:lang w:val="bg-BG"/>
        </w:rPr>
        <w:t xml:space="preserve"> ни позволи да идентифицираме няколко засегнати гена. Два от тях са пряко включени в пътя на биосинтеза на изопреноидите в хлоропластите и ние смятаме, че тяхното активиране е довело до повишени нива на производство на </w:t>
      </w:r>
      <w:r w:rsidRPr="00804D06">
        <w:t>GS</w:t>
      </w:r>
      <w:r w:rsidRPr="00804D06">
        <w:rPr>
          <w:lang w:val="bg-BG"/>
        </w:rPr>
        <w:t xml:space="preserve">. Смятаме също, че тези гени са отговорни за повишеното производство на </w:t>
      </w:r>
      <w:r w:rsidRPr="00804D06">
        <w:t>GS</w:t>
      </w:r>
      <w:r w:rsidRPr="00804D06">
        <w:rPr>
          <w:lang w:val="bg-BG"/>
        </w:rPr>
        <w:t xml:space="preserve"> в пет от линиите </w:t>
      </w:r>
      <w:r w:rsidRPr="00804D06">
        <w:t>Arabidopsis</w:t>
      </w:r>
      <w:r w:rsidRPr="00804D06">
        <w:rPr>
          <w:lang w:val="bg-BG"/>
        </w:rPr>
        <w:t xml:space="preserve"> показали резистентност към </w:t>
      </w:r>
      <w:r w:rsidRPr="00804D06">
        <w:rPr>
          <w:i/>
        </w:rPr>
        <w:t>P</w:t>
      </w:r>
      <w:r w:rsidRPr="00804D06">
        <w:rPr>
          <w:i/>
          <w:lang w:val="bg-BG"/>
        </w:rPr>
        <w:t xml:space="preserve">. </w:t>
      </w:r>
      <w:r w:rsidRPr="00804D06">
        <w:rPr>
          <w:i/>
        </w:rPr>
        <w:t>ramosa</w:t>
      </w:r>
      <w:r w:rsidRPr="00804D06">
        <w:rPr>
          <w:lang w:val="bg-BG"/>
        </w:rPr>
        <w:t>.</w:t>
      </w:r>
    </w:p>
    <w:p w:rsidR="004A31B6" w:rsidRDefault="004A31B6" w:rsidP="00D23BD9">
      <w:pPr>
        <w:jc w:val="both"/>
        <w:rPr>
          <w:lang w:val="bg-BG"/>
        </w:rPr>
      </w:pPr>
    </w:p>
    <w:p w:rsidR="004A31B6" w:rsidRPr="00804D06" w:rsidRDefault="004A31B6" w:rsidP="00D23BD9">
      <w:pPr>
        <w:pStyle w:val="NormalWeb"/>
        <w:numPr>
          <w:ilvl w:val="0"/>
          <w:numId w:val="1"/>
        </w:numPr>
        <w:spacing w:before="0" w:beforeAutospacing="0" w:after="0" w:afterAutospacing="0" w:line="276" w:lineRule="auto"/>
        <w:jc w:val="both"/>
      </w:pPr>
      <w:r w:rsidRPr="00804D06">
        <w:t xml:space="preserve">Sweet, J., </w:t>
      </w:r>
      <w:r w:rsidRPr="00804D06">
        <w:rPr>
          <w:b/>
        </w:rPr>
        <w:t>Kostov, K.</w:t>
      </w:r>
      <w:r w:rsidRPr="00804D06">
        <w:t xml:space="preserve">, Dzhambazova, T. (2016) A systematic review of the effects of the cultivation of genetically modified herbicide tolerant crops on botanical diversity. IOBC-WPRS Bulletin 114, 79–81. </w:t>
      </w:r>
      <w:r w:rsidRPr="00EC6DDE">
        <w:rPr>
          <w:b/>
        </w:rPr>
        <w:t>(</w:t>
      </w:r>
      <w:r w:rsidR="002008A5">
        <w:rPr>
          <w:b/>
        </w:rPr>
        <w:t>Г7.</w:t>
      </w:r>
      <w:r w:rsidRPr="00EC6DDE">
        <w:rPr>
          <w:b/>
        </w:rPr>
        <w:t>3)</w:t>
      </w:r>
    </w:p>
    <w:p w:rsidR="004A31B6" w:rsidRPr="00804D06" w:rsidRDefault="004A31B6" w:rsidP="00D23BD9">
      <w:pPr>
        <w:pStyle w:val="NormalWeb"/>
        <w:spacing w:before="0" w:beforeAutospacing="0" w:after="0" w:afterAutospacing="0" w:line="276" w:lineRule="auto"/>
        <w:jc w:val="both"/>
      </w:pPr>
    </w:p>
    <w:p w:rsidR="004A31B6" w:rsidRPr="00804D06" w:rsidRDefault="004A31B6" w:rsidP="00D23BD9">
      <w:pPr>
        <w:pStyle w:val="NormalWeb"/>
        <w:spacing w:before="0" w:beforeAutospacing="0" w:after="0" w:afterAutospacing="0" w:line="276" w:lineRule="auto"/>
        <w:jc w:val="both"/>
      </w:pPr>
      <w:r w:rsidRPr="00804D06">
        <w:t>A systematic review of the effects of the cultivation of genetically modified herbicide tolerant crops on botanical diversity</w:t>
      </w:r>
    </w:p>
    <w:p w:rsidR="004A31B6" w:rsidRPr="00804D06" w:rsidRDefault="004A31B6" w:rsidP="00D23BD9">
      <w:pPr>
        <w:pStyle w:val="NormalWeb"/>
        <w:spacing w:before="0" w:beforeAutospacing="0" w:after="0" w:afterAutospacing="0" w:line="276" w:lineRule="auto"/>
        <w:jc w:val="both"/>
      </w:pPr>
    </w:p>
    <w:p w:rsidR="004A31B6" w:rsidRPr="00804D06" w:rsidRDefault="004A31B6" w:rsidP="00D23BD9">
      <w:pPr>
        <w:pStyle w:val="NormalWeb"/>
        <w:spacing w:before="0" w:beforeAutospacing="0" w:after="0" w:afterAutospacing="0" w:line="276" w:lineRule="auto"/>
        <w:jc w:val="both"/>
      </w:pPr>
      <w:r w:rsidRPr="00804D06">
        <w:t>Abstract</w:t>
      </w:r>
    </w:p>
    <w:p w:rsidR="004A31B6" w:rsidRPr="00804D06" w:rsidRDefault="004A31B6" w:rsidP="00D23BD9">
      <w:pPr>
        <w:pStyle w:val="NormalWeb"/>
        <w:spacing w:before="0" w:beforeAutospacing="0" w:after="0" w:afterAutospacing="0" w:line="276" w:lineRule="auto"/>
        <w:jc w:val="both"/>
      </w:pPr>
      <w:r w:rsidRPr="00804D06">
        <w:t>Herbicide tolerant (HT) crops are amongst the most widely grown genetically modified (GM) crops in North and South America and some other regions, and applications have been made to cultivate them in Europe. The herbicide management of GM HT crops differs from that of conventional crops as the HT trait in the GM crop allows the application of non-selective broad spectrum herbicides post-emergence in weed control programmes. Concerns have been raised as to whether this is altering weed diversity in fields of HT crops by reducing populations of certain weeds while increasing populations of other weed species adapted to, or tolerant of the HT herbicide programmes (Graef, 2009). This presentation describes the work within the GRACE project (Kohl et al., 2013) to develop a systematic review (EFSA, 2010) to address this issue by reviewing existing data on the effects of HT crop management on weed populations.</w:t>
      </w:r>
    </w:p>
    <w:p w:rsidR="004A31B6" w:rsidRPr="00804D06" w:rsidRDefault="004A31B6" w:rsidP="00D23BD9">
      <w:pPr>
        <w:pStyle w:val="NormalWeb"/>
        <w:spacing w:before="0" w:beforeAutospacing="0" w:after="0" w:afterAutospacing="0" w:line="276" w:lineRule="auto"/>
        <w:jc w:val="both"/>
      </w:pPr>
    </w:p>
    <w:p w:rsidR="004A31B6" w:rsidRPr="00804D06" w:rsidRDefault="004A31B6" w:rsidP="00D23BD9">
      <w:pPr>
        <w:pStyle w:val="NormalWeb"/>
        <w:spacing w:before="0" w:beforeAutospacing="0" w:after="0" w:afterAutospacing="0" w:line="276" w:lineRule="auto"/>
        <w:jc w:val="both"/>
        <w:rPr>
          <w:lang w:val="bg-BG"/>
        </w:rPr>
      </w:pPr>
      <w:r w:rsidRPr="00804D06">
        <w:rPr>
          <w:lang w:val="bg-BG"/>
        </w:rPr>
        <w:t>Систематично ревю на ефектите от отглеждането на генетично модифицирани хербицид-толерантни култури върху ботаническото разнообразие</w:t>
      </w:r>
    </w:p>
    <w:p w:rsidR="004A31B6" w:rsidRPr="00804D06" w:rsidRDefault="004A31B6" w:rsidP="00D23BD9">
      <w:pPr>
        <w:pStyle w:val="NormalWeb"/>
        <w:spacing w:before="0" w:beforeAutospacing="0" w:after="0" w:afterAutospacing="0" w:line="276" w:lineRule="auto"/>
        <w:jc w:val="both"/>
        <w:rPr>
          <w:lang w:val="bg-BG"/>
        </w:rPr>
      </w:pPr>
    </w:p>
    <w:p w:rsidR="004A31B6" w:rsidRPr="00804D06" w:rsidRDefault="004A31B6" w:rsidP="00D23BD9">
      <w:pPr>
        <w:pStyle w:val="NormalWeb"/>
        <w:spacing w:before="0" w:beforeAutospacing="0" w:after="0" w:afterAutospacing="0" w:line="276" w:lineRule="auto"/>
        <w:jc w:val="both"/>
        <w:rPr>
          <w:lang w:val="bg-BG"/>
        </w:rPr>
      </w:pPr>
      <w:r w:rsidRPr="00804D06">
        <w:rPr>
          <w:lang w:val="bg-BG"/>
        </w:rPr>
        <w:t>Резюме</w:t>
      </w:r>
    </w:p>
    <w:p w:rsidR="004A31B6" w:rsidRPr="004A31B6" w:rsidRDefault="004A31B6" w:rsidP="00D23BD9">
      <w:pPr>
        <w:pStyle w:val="NormalWeb"/>
        <w:spacing w:before="0" w:beforeAutospacing="0" w:after="0" w:afterAutospacing="0" w:line="276" w:lineRule="auto"/>
        <w:jc w:val="both"/>
        <w:rPr>
          <w:lang w:val="bg-BG"/>
        </w:rPr>
      </w:pPr>
      <w:r w:rsidRPr="00804D06">
        <w:rPr>
          <w:lang w:val="bg-BG"/>
        </w:rPr>
        <w:t xml:space="preserve">Хербицид-толерантните (ХT) култури са сред най-широко отглежданите генетично модифицирани (ГМ) култури в Северна и Южна Америка и някои други региони, като са подадени заявления за отглеждането им и в Европа. Прилагането на хербициди при ГМХT-те култури се различава от това при конвенционалните култури, тъй като хербицидната толерантност в ГМ култури позволява в програмите за борба с плевелите да бъдат включени неселективни широкоспектърни хербициди след поникване. Съществуват опасения дали </w:t>
      </w:r>
      <w:r w:rsidRPr="00804D06">
        <w:rPr>
          <w:lang w:val="bg-BG"/>
        </w:rPr>
        <w:lastRenderedPageBreak/>
        <w:t xml:space="preserve">тази практика променя видовото разнообразие на плевелите в полетата с ХT култури, причинявайки например намаляване на популациите на определени видове, като същевременно увеличава популациите на други видове плевели, адаптирани или толерантни към използваните хербициди (Graef, 2009). Тук е представена дейността в рамките на проект GRACE (Kohl et al., 2013) свързана с провеждане на систематичен преглед на научна информация (EFSA, 2010) за проучване на този въпрос чрез преглед на </w:t>
      </w:r>
      <w:r w:rsidRPr="004A31B6">
        <w:rPr>
          <w:lang w:val="bg-BG"/>
        </w:rPr>
        <w:t>съществуващите данни за ефектите от използването на ХT култури върху популациите на плевелите.</w:t>
      </w:r>
    </w:p>
    <w:p w:rsidR="004A31B6" w:rsidRPr="004A31B6" w:rsidRDefault="004A31B6" w:rsidP="00D23BD9">
      <w:pPr>
        <w:jc w:val="both"/>
        <w:rPr>
          <w:sz w:val="24"/>
          <w:szCs w:val="24"/>
          <w:lang w:val="bg-BG"/>
        </w:rPr>
      </w:pPr>
    </w:p>
    <w:p w:rsidR="004A31B6" w:rsidRPr="004A31B6" w:rsidRDefault="004A31B6" w:rsidP="00D23BD9">
      <w:pPr>
        <w:pStyle w:val="NormalWeb"/>
        <w:numPr>
          <w:ilvl w:val="0"/>
          <w:numId w:val="1"/>
        </w:numPr>
        <w:spacing w:before="0" w:beforeAutospacing="0" w:after="0" w:afterAutospacing="0" w:line="276" w:lineRule="auto"/>
        <w:jc w:val="both"/>
        <w:rPr>
          <w:b/>
        </w:rPr>
      </w:pPr>
      <w:r w:rsidRPr="004A31B6">
        <w:rPr>
          <w:b/>
        </w:rPr>
        <w:t>Kostov, K.</w:t>
      </w:r>
      <w:r w:rsidRPr="004A31B6">
        <w:t xml:space="preserve">, Atanassov, A. (2016) GMO research in Bulgaria: before and after the enforcement of the GMO law. IOBC-WPRS Bulletin 114, 13–21. </w:t>
      </w:r>
      <w:r w:rsidRPr="004A31B6">
        <w:rPr>
          <w:b/>
        </w:rPr>
        <w:t>(</w:t>
      </w:r>
      <w:r w:rsidR="002008A5">
        <w:rPr>
          <w:b/>
        </w:rPr>
        <w:t>Г7.</w:t>
      </w:r>
      <w:r w:rsidRPr="004A31B6">
        <w:rPr>
          <w:b/>
        </w:rPr>
        <w:t>4)</w:t>
      </w:r>
    </w:p>
    <w:p w:rsidR="004A31B6" w:rsidRPr="004A31B6" w:rsidRDefault="004A31B6" w:rsidP="00D23BD9">
      <w:pPr>
        <w:pStyle w:val="NormalWeb"/>
        <w:spacing w:before="0" w:beforeAutospacing="0" w:after="0" w:afterAutospacing="0" w:line="276" w:lineRule="auto"/>
        <w:ind w:left="360"/>
        <w:jc w:val="both"/>
      </w:pPr>
    </w:p>
    <w:p w:rsidR="004A31B6" w:rsidRPr="004A31B6" w:rsidRDefault="004A31B6" w:rsidP="00D23BD9">
      <w:pPr>
        <w:pStyle w:val="NormalWeb"/>
        <w:spacing w:before="0" w:beforeAutospacing="0" w:after="0" w:afterAutospacing="0" w:line="276" w:lineRule="auto"/>
        <w:jc w:val="both"/>
      </w:pPr>
      <w:r w:rsidRPr="004A31B6">
        <w:t>GMO research in Bulgaria: before and after the enforcement of the GMO law</w:t>
      </w:r>
    </w:p>
    <w:p w:rsidR="004A31B6" w:rsidRPr="004A31B6" w:rsidRDefault="004A31B6" w:rsidP="00D23BD9">
      <w:pPr>
        <w:pStyle w:val="NormalWeb"/>
        <w:spacing w:before="0" w:beforeAutospacing="0" w:after="0" w:afterAutospacing="0" w:line="276" w:lineRule="auto"/>
        <w:ind w:left="360"/>
        <w:jc w:val="both"/>
      </w:pPr>
    </w:p>
    <w:p w:rsidR="004A31B6" w:rsidRPr="004A31B6" w:rsidRDefault="004A31B6" w:rsidP="00D23BD9">
      <w:pPr>
        <w:pStyle w:val="NormalWeb"/>
        <w:spacing w:before="0" w:beforeAutospacing="0" w:after="0" w:afterAutospacing="0" w:line="276" w:lineRule="auto"/>
        <w:jc w:val="both"/>
      </w:pPr>
      <w:r w:rsidRPr="004A31B6">
        <w:t>Abstract</w:t>
      </w:r>
    </w:p>
    <w:p w:rsidR="004A31B6" w:rsidRPr="004A31B6" w:rsidRDefault="004A31B6" w:rsidP="00D23BD9">
      <w:pPr>
        <w:pStyle w:val="NormalWeb"/>
        <w:spacing w:before="0" w:beforeAutospacing="0" w:after="0" w:afterAutospacing="0" w:line="276" w:lineRule="auto"/>
        <w:jc w:val="both"/>
      </w:pPr>
      <w:r w:rsidRPr="004A31B6">
        <w:t>Research on, development, and commercialization of crops derived trough biotechnology is strongly affected by regulatory frameworks, especially in the countries within EU. While there are common rules for the GMO regulation set by the EU, each country seemed to have a unique approach to this matter often implying restrictive laws that contradict the common EU policy. In this paper the influence of the regulatory framework on the plant biotechnology research in Bulgaria is discussed through a review of the past and current developments in one of the leading plant biotech research institutions in the country – Agrobioinstitute (ABI). ABI started its existence in the mid</w:t>
      </w:r>
      <w:r w:rsidRPr="004A31B6">
        <w:rPr>
          <w:lang w:val="bg-BG"/>
        </w:rPr>
        <w:t xml:space="preserve"> </w:t>
      </w:r>
      <w:r w:rsidRPr="004A31B6">
        <w:t>1980s and it had its rise in the 1990s performing cutting age plant biotech research funded by the government and by cooperation</w:t>
      </w:r>
      <w:r w:rsidRPr="004A31B6">
        <w:rPr>
          <w:lang w:val="bg-BG"/>
        </w:rPr>
        <w:t>я</w:t>
      </w:r>
      <w:r w:rsidRPr="004A31B6">
        <w:t xml:space="preserve"> with private companies. In that time the development of protocols for genetic transformation of many plant species was carried out and new traits such as insect and diseases resistance and cold tolerance were introduced in plant species such as tobacco, tomato and potato. The developed GM plants were assessed for their efficiency and possible impacts on the environment in numerous laboratory and field trials. In the first decade of the new century, however, with the enforcement of the GMO legislation, restrictive rules hampered the GMO research workflow in the country. The key aspects of this legislation specific for Bulgaria, which have the most significant impact on GMO research and commercialization, are discussed.</w:t>
      </w:r>
    </w:p>
    <w:p w:rsidR="004A31B6" w:rsidRPr="004A31B6" w:rsidRDefault="004A31B6" w:rsidP="00D23BD9">
      <w:pPr>
        <w:pStyle w:val="NormalWeb"/>
        <w:spacing w:before="0" w:beforeAutospacing="0" w:after="0" w:afterAutospacing="0" w:line="276" w:lineRule="auto"/>
        <w:ind w:left="360"/>
        <w:jc w:val="both"/>
      </w:pPr>
    </w:p>
    <w:p w:rsidR="004A31B6" w:rsidRPr="004A31B6" w:rsidRDefault="004A31B6" w:rsidP="00D23BD9">
      <w:pPr>
        <w:pStyle w:val="NormalWeb"/>
        <w:spacing w:before="0" w:beforeAutospacing="0" w:after="0" w:afterAutospacing="0" w:line="276" w:lineRule="auto"/>
        <w:jc w:val="both"/>
        <w:rPr>
          <w:lang w:val="bg-BG"/>
        </w:rPr>
      </w:pPr>
      <w:r w:rsidRPr="004A31B6">
        <w:rPr>
          <w:lang w:val="bg-BG"/>
        </w:rPr>
        <w:t>Изследванията на ГМО в България: преди и след влизането в сила на закона за ГМО</w:t>
      </w:r>
    </w:p>
    <w:p w:rsidR="004A31B6" w:rsidRPr="004A31B6" w:rsidRDefault="004A31B6" w:rsidP="00D23BD9">
      <w:pPr>
        <w:pStyle w:val="NormalWeb"/>
        <w:spacing w:before="0" w:beforeAutospacing="0" w:after="0" w:afterAutospacing="0" w:line="276" w:lineRule="auto"/>
        <w:ind w:left="360"/>
        <w:jc w:val="both"/>
        <w:rPr>
          <w:lang w:val="bg-BG"/>
        </w:rPr>
      </w:pPr>
    </w:p>
    <w:p w:rsidR="004A31B6" w:rsidRPr="004A31B6" w:rsidRDefault="004A31B6" w:rsidP="00D23BD9">
      <w:pPr>
        <w:pStyle w:val="NormalWeb"/>
        <w:spacing w:before="0" w:beforeAutospacing="0" w:after="0" w:afterAutospacing="0" w:line="276" w:lineRule="auto"/>
        <w:jc w:val="both"/>
        <w:rPr>
          <w:lang w:val="bg-BG"/>
        </w:rPr>
      </w:pPr>
      <w:r w:rsidRPr="004A31B6">
        <w:rPr>
          <w:lang w:val="bg-BG"/>
        </w:rPr>
        <w:t>Резюме</w:t>
      </w:r>
    </w:p>
    <w:p w:rsidR="004A31B6" w:rsidRPr="004A31B6" w:rsidRDefault="004A31B6" w:rsidP="00D23BD9">
      <w:pPr>
        <w:jc w:val="both"/>
        <w:rPr>
          <w:rFonts w:ascii="Times New Roman" w:hAnsi="Times New Roman" w:cs="Times New Roman"/>
          <w:sz w:val="24"/>
          <w:szCs w:val="24"/>
          <w:lang w:val="bg-BG"/>
        </w:rPr>
      </w:pPr>
      <w:r w:rsidRPr="004A31B6">
        <w:rPr>
          <w:rFonts w:ascii="Times New Roman" w:hAnsi="Times New Roman" w:cs="Times New Roman"/>
          <w:sz w:val="24"/>
          <w:szCs w:val="24"/>
          <w:lang w:val="bg-BG"/>
        </w:rPr>
        <w:t xml:space="preserve">Изследванията, разработването и комерсиализацията на култури, получени чрез биотехнологии, са силно повлияни от регулаторните рамки, особено в страните от ЕС. Въпреки че съществуват общи правила за регулиране на ГМО, определени от ЕС, всяка страна изглежда има уникален подход към този въпрос, често предполагащ ограничителни </w:t>
      </w:r>
      <w:r w:rsidRPr="004A31B6">
        <w:rPr>
          <w:rFonts w:ascii="Times New Roman" w:hAnsi="Times New Roman" w:cs="Times New Roman"/>
          <w:sz w:val="24"/>
          <w:szCs w:val="24"/>
          <w:lang w:val="bg-BG"/>
        </w:rPr>
        <w:lastRenderedPageBreak/>
        <w:t>закони, противоречащи на общата политика на ЕС. В тази статия се разглежда влиянието на регулаторната рамка върху изследванията в областта на растителните биотехнологии в България чрез преглед на миналите и настоящите разработки в една от водещите институции за растителни биотехнологии в страната – Агробиоинститут (АБИ). АБИ започва съществуването си в средата на 80-те години на миналия век и получава своя възход през 90-те години, извършвайки авангардни изследвания в растителните биотехнологии, финансирани от правителството и чрез сътрудничество с частни компании. По това време е извършено разработването на протоколи за генетична трансформация на множество растителни видове, а във растения като тютюн, домати и картофи са въведени нови характеристики като студоустойчивост и устойчивост на болести и неприятели. Разработените генетично модифицирани растения са изпитвани по отношение на тяхната ефективност и евентуално въздействие върху околната среда в множество лабораторни и полеви експерименти. През първото десетилетие на новия век обаче, с влизането в сила на законодателството относно ГМО, ограничителни клаузи силно затрудниха работния процес в областта на изследванията на ГМО в страната. Обсъждат се ключовите аспекти на това законодателство, специфични за България, които имат най-съществено въздействие върху изследванията и комерсиализацията на ГМО.</w:t>
      </w:r>
    </w:p>
    <w:p w:rsidR="004A31B6" w:rsidRDefault="004A31B6" w:rsidP="00D23BD9">
      <w:pPr>
        <w:jc w:val="both"/>
        <w:rPr>
          <w:lang w:val="bg-BG"/>
        </w:rPr>
      </w:pPr>
    </w:p>
    <w:p w:rsidR="004A31B6" w:rsidRPr="00804D06" w:rsidRDefault="004A31B6" w:rsidP="00D23BD9">
      <w:pPr>
        <w:pStyle w:val="NormalWeb"/>
        <w:numPr>
          <w:ilvl w:val="0"/>
          <w:numId w:val="1"/>
        </w:numPr>
        <w:spacing w:before="0" w:beforeAutospacing="0" w:after="0" w:afterAutospacing="0" w:line="276" w:lineRule="auto"/>
        <w:jc w:val="both"/>
      </w:pPr>
      <w:r w:rsidRPr="00804D06">
        <w:t xml:space="preserve">Vince, L., Kleter, G., </w:t>
      </w:r>
      <w:r w:rsidRPr="00804D06">
        <w:rPr>
          <w:b/>
        </w:rPr>
        <w:t>Kostov, K.</w:t>
      </w:r>
      <w:r w:rsidRPr="00804D06">
        <w:t xml:space="preserve">, Pfeiffer, D., Guitian, J. (2018) The applicability of animal health surveillance systems for post-market monitoring of potential adverse effects of genetically modified (GM) feed. Food and Chemical Toxicology 117, 79–88. </w:t>
      </w:r>
      <w:r w:rsidRPr="002D537F">
        <w:rPr>
          <w:b/>
        </w:rPr>
        <w:t>(</w:t>
      </w:r>
      <w:r w:rsidR="002008A5">
        <w:rPr>
          <w:b/>
        </w:rPr>
        <w:t>Г7.</w:t>
      </w:r>
      <w:r w:rsidRPr="002D537F">
        <w:rPr>
          <w:b/>
        </w:rPr>
        <w:t>5)</w:t>
      </w:r>
    </w:p>
    <w:p w:rsidR="004A31B6" w:rsidRPr="00804D06" w:rsidRDefault="004A31B6" w:rsidP="00D23BD9">
      <w:pPr>
        <w:pStyle w:val="NormalWeb"/>
        <w:spacing w:before="0" w:beforeAutospacing="0" w:after="0" w:afterAutospacing="0" w:line="276" w:lineRule="auto"/>
        <w:jc w:val="both"/>
      </w:pPr>
    </w:p>
    <w:p w:rsidR="004A31B6" w:rsidRPr="00804D06" w:rsidRDefault="004A31B6" w:rsidP="00D23BD9">
      <w:pPr>
        <w:pStyle w:val="NormalWeb"/>
        <w:spacing w:before="0" w:beforeAutospacing="0" w:after="0" w:afterAutospacing="0" w:line="276" w:lineRule="auto"/>
        <w:jc w:val="both"/>
      </w:pPr>
      <w:r w:rsidRPr="00804D06">
        <w:t>The applicability of animal health surveillance systems for post-market monitoring of potential adverse effects of genetically modified (GM) feed</w:t>
      </w:r>
    </w:p>
    <w:p w:rsidR="004A31B6" w:rsidRPr="00804D06" w:rsidRDefault="004A31B6" w:rsidP="00D23BD9">
      <w:pPr>
        <w:pStyle w:val="NormalWeb"/>
        <w:spacing w:before="0" w:beforeAutospacing="0" w:after="0" w:afterAutospacing="0" w:line="276" w:lineRule="auto"/>
        <w:jc w:val="both"/>
      </w:pPr>
    </w:p>
    <w:p w:rsidR="004A31B6" w:rsidRPr="00804D06" w:rsidRDefault="004A31B6" w:rsidP="00D23BD9">
      <w:pPr>
        <w:pStyle w:val="NormalWeb"/>
        <w:spacing w:before="0" w:beforeAutospacing="0" w:after="0" w:afterAutospacing="0" w:line="276" w:lineRule="auto"/>
        <w:jc w:val="both"/>
      </w:pPr>
      <w:r w:rsidRPr="00804D06">
        <w:t>Abstract</w:t>
      </w:r>
    </w:p>
    <w:p w:rsidR="004A31B6" w:rsidRPr="00804D06" w:rsidRDefault="004A31B6" w:rsidP="00D23BD9">
      <w:pPr>
        <w:pStyle w:val="NormalWeb"/>
        <w:spacing w:before="0" w:beforeAutospacing="0" w:after="0" w:afterAutospacing="0" w:line="276" w:lineRule="auto"/>
        <w:jc w:val="both"/>
      </w:pPr>
      <w:r w:rsidRPr="00804D06">
        <w:t xml:space="preserve">A facultative post market monitoring of potential health impacts of genetically modified (GM) feedstuffs on livestock consuming these feeds after pre-market risk assessment is under ongoing consideration. Within the IPAFEED database, scientific studies on health effects beyond performance in livestock and the results of a systematic search for evidence of outcome effects due to GM feed are consolidated. These outcomes were reviewed and checked for consistency in order to identify plausible syndromes suitable for conducting surveillance. The 24 selected studies showed no consistent changes in any health parameter. There were no repeated studies in any species by GM crop type and animal species. As such, there is insufficient evidence to inform the design of surveillance systems for detecting known adverse effects. Animal health surveillance systems have been proposed for the post market monitoring of potential adverse effects in animals. Such systems were evaluated for their applicability to the detection of hypothetical adverse effects and their strengths and weaknesses to detect syndromes of concern are presented. For known adverse effects, applied controlled post-market studies may yield conclusive and high-quality evidence. For detecting unknown adverse effects, the use of existing surveillance systems may still be of interest. A simulation tool developed within the project can be adapted and applied to existing </w:t>
      </w:r>
      <w:r w:rsidRPr="00804D06">
        <w:lastRenderedPageBreak/>
        <w:t>surveillance systems to explore their applicability to the detection of potential adverse effects of GM feed.</w:t>
      </w:r>
    </w:p>
    <w:p w:rsidR="004A31B6" w:rsidRPr="00804D06" w:rsidRDefault="004A31B6" w:rsidP="00D23BD9">
      <w:pPr>
        <w:pStyle w:val="NormalWeb"/>
        <w:spacing w:before="0" w:beforeAutospacing="0" w:after="0" w:afterAutospacing="0" w:line="276" w:lineRule="auto"/>
        <w:jc w:val="both"/>
      </w:pPr>
    </w:p>
    <w:p w:rsidR="004A31B6" w:rsidRPr="00804D06" w:rsidRDefault="004A31B6" w:rsidP="00D23BD9">
      <w:pPr>
        <w:pStyle w:val="NormalWeb"/>
        <w:spacing w:before="0" w:beforeAutospacing="0" w:after="0" w:afterAutospacing="0" w:line="276" w:lineRule="auto"/>
        <w:jc w:val="both"/>
      </w:pPr>
    </w:p>
    <w:p w:rsidR="004A31B6" w:rsidRPr="00804D06" w:rsidRDefault="004A31B6" w:rsidP="00D23BD9">
      <w:pPr>
        <w:pStyle w:val="NormalWeb"/>
        <w:spacing w:before="0" w:beforeAutospacing="0" w:after="0" w:afterAutospacing="0" w:line="276" w:lineRule="auto"/>
        <w:jc w:val="both"/>
        <w:rPr>
          <w:lang w:val="bg-BG"/>
        </w:rPr>
      </w:pPr>
      <w:r w:rsidRPr="00804D06">
        <w:rPr>
          <w:lang w:val="bg-BG"/>
        </w:rPr>
        <w:t>Приложимост на системите за наблюдение на здравето на животните за мониторинг след пускане на пазара на потенциални неблагоприятни ефекти от генетично модифицирани (ГМ) фуражи</w:t>
      </w:r>
    </w:p>
    <w:p w:rsidR="004A31B6" w:rsidRPr="00804D06" w:rsidRDefault="004A31B6" w:rsidP="00D23BD9">
      <w:pPr>
        <w:pStyle w:val="NormalWeb"/>
        <w:spacing w:before="0" w:beforeAutospacing="0" w:after="0" w:afterAutospacing="0" w:line="276" w:lineRule="auto"/>
        <w:jc w:val="both"/>
        <w:rPr>
          <w:lang w:val="bg-BG"/>
        </w:rPr>
      </w:pPr>
    </w:p>
    <w:p w:rsidR="004A31B6" w:rsidRPr="00804D06" w:rsidRDefault="004A31B6" w:rsidP="00D23BD9">
      <w:pPr>
        <w:pStyle w:val="NormalWeb"/>
        <w:spacing w:before="0" w:beforeAutospacing="0" w:after="0" w:afterAutospacing="0" w:line="276" w:lineRule="auto"/>
        <w:jc w:val="both"/>
        <w:rPr>
          <w:lang w:val="bg-BG"/>
        </w:rPr>
      </w:pPr>
      <w:r w:rsidRPr="00804D06">
        <w:rPr>
          <w:lang w:val="bg-BG"/>
        </w:rPr>
        <w:t>Резюме</w:t>
      </w:r>
    </w:p>
    <w:p w:rsidR="004A31B6" w:rsidRPr="00804D06" w:rsidRDefault="004A31B6" w:rsidP="00D23BD9">
      <w:pPr>
        <w:pStyle w:val="NormalWeb"/>
        <w:spacing w:before="0" w:beforeAutospacing="0" w:after="0" w:afterAutospacing="0" w:line="276" w:lineRule="auto"/>
        <w:jc w:val="both"/>
        <w:rPr>
          <w:lang w:val="bg-BG"/>
        </w:rPr>
      </w:pPr>
      <w:r w:rsidRPr="00804D06">
        <w:rPr>
          <w:lang w:val="bg-BG"/>
        </w:rPr>
        <w:t>В момента се обмисля незадължителен мониторинг след пускане на пазара на потенциалните въздействия върху здравето на генетично модифицираните (ГМ) фуражи върху домашните животни, консумиращи тези фуражи след предварителна оценка на риска. В рамките на базата данни IPAFEED са консолидирани данни относно ефектите на ГМ фуражи след провеждането на систематично търсене на доказателства от научни изследвания проучващи въздействието върху здравето на домашните животни, отвъд производителността. Тези резултати бяха прегледани и проверени за наличието на последователност, която да позволи идентифицирането на надеждна група от симптоми, подходящи за провеждане на мониторинг. Включените в базата 24-ри проучвания не показват последователни промени в нито един здравен параметър. Липсват повторения на проучвания, както за различните ГМ култури така и за животинските видове. Ето защо няма достатъчно доказателства, които да предоставят данни за проектирането на системи за наблюдение, която да открива известни неблагоприятни ефекти. Предложени са системи за наблюдение на здравето на животните за постмаркетингов мониторинг на потенциални неблагоприятни ефекти при животните. Пригодността на такива системи за откриване на хипотетични нежелани ефекти е оценена и са представени техните силни и слаби страни за откриване на тревожни синдроми. За известни неблагоприятни ефекти убедителни и висококачествени доказателства могат да бъдат събирани чрез приложни, контролирани проучвания след пускането на пазара. За откриване на неизвестни неблагоприятни ефекти интерес представлява използването на съществуващите системи за наблюдение. В рамките на проекта е разработен инструмент за симулация, които може да бъде адаптиран и приложен към съществуващите системи за наблюдение, за да се проучи тяхната приложимост за откриване на потенциални неблагоприятни ефекти от ГМ фуражи.</w:t>
      </w:r>
    </w:p>
    <w:p w:rsidR="004A31B6" w:rsidRDefault="004A31B6" w:rsidP="00D23BD9">
      <w:pPr>
        <w:jc w:val="both"/>
        <w:rPr>
          <w:lang w:val="bg-BG"/>
        </w:rPr>
      </w:pPr>
    </w:p>
    <w:p w:rsidR="00926EE9" w:rsidRPr="00804D06" w:rsidRDefault="00926EE9" w:rsidP="00D23BD9">
      <w:pPr>
        <w:pStyle w:val="NormalWeb"/>
        <w:numPr>
          <w:ilvl w:val="0"/>
          <w:numId w:val="1"/>
        </w:numPr>
        <w:spacing w:before="0" w:beforeAutospacing="0" w:after="0" w:afterAutospacing="0" w:line="276" w:lineRule="auto"/>
        <w:jc w:val="both"/>
      </w:pPr>
      <w:r w:rsidRPr="00804D06">
        <w:t xml:space="preserve">Christova, P., Lyubenova, A., </w:t>
      </w:r>
      <w:r w:rsidRPr="00920E57">
        <w:rPr>
          <w:b/>
        </w:rPr>
        <w:t>Kostov, K.</w:t>
      </w:r>
      <w:r w:rsidRPr="00804D06">
        <w:t xml:space="preserve">, Slavov, S. (2018) Diversity and pathogenicity of </w:t>
      </w:r>
      <w:r w:rsidRPr="00804D06">
        <w:rPr>
          <w:i/>
        </w:rPr>
        <w:t>Phytophthora species</w:t>
      </w:r>
      <w:r w:rsidRPr="00804D06">
        <w:t xml:space="preserve">, isolated from Osam River. Journal of Mountain Agriculture on the Balkans 21(1), 179–191. </w:t>
      </w:r>
      <w:r w:rsidRPr="002D537F">
        <w:rPr>
          <w:b/>
        </w:rPr>
        <w:t>(</w:t>
      </w:r>
      <w:r w:rsidR="002008A5">
        <w:rPr>
          <w:b/>
        </w:rPr>
        <w:t>Г7.</w:t>
      </w:r>
      <w:r w:rsidRPr="002D537F">
        <w:rPr>
          <w:b/>
        </w:rPr>
        <w:t>6)</w:t>
      </w:r>
    </w:p>
    <w:p w:rsidR="00926EE9" w:rsidRPr="00804D06" w:rsidRDefault="00926EE9" w:rsidP="00D23BD9">
      <w:pPr>
        <w:pStyle w:val="NormalWeb"/>
        <w:spacing w:before="0" w:beforeAutospacing="0" w:after="0" w:afterAutospacing="0" w:line="276" w:lineRule="auto"/>
        <w:jc w:val="both"/>
      </w:pPr>
    </w:p>
    <w:p w:rsidR="00926EE9" w:rsidRPr="00804D06" w:rsidRDefault="00926EE9" w:rsidP="00D23BD9">
      <w:pPr>
        <w:pStyle w:val="NormalWeb"/>
        <w:spacing w:before="0" w:beforeAutospacing="0" w:after="0" w:afterAutospacing="0" w:line="276" w:lineRule="auto"/>
        <w:jc w:val="both"/>
      </w:pPr>
      <w:r w:rsidRPr="00804D06">
        <w:t xml:space="preserve">Diversity and pathogenicity of </w:t>
      </w:r>
      <w:r w:rsidRPr="00804D06">
        <w:rPr>
          <w:i/>
        </w:rPr>
        <w:t>Phytophthora species</w:t>
      </w:r>
      <w:r w:rsidRPr="00804D06">
        <w:t>, isolated from Osam River</w:t>
      </w:r>
    </w:p>
    <w:p w:rsidR="00926EE9" w:rsidRPr="00804D06" w:rsidRDefault="00926EE9" w:rsidP="00D23BD9">
      <w:pPr>
        <w:pStyle w:val="NormalWeb"/>
        <w:spacing w:before="0" w:beforeAutospacing="0" w:after="0" w:afterAutospacing="0" w:line="276" w:lineRule="auto"/>
        <w:jc w:val="both"/>
      </w:pPr>
    </w:p>
    <w:p w:rsidR="00926EE9" w:rsidRPr="00804D06" w:rsidRDefault="00926EE9" w:rsidP="00D23BD9">
      <w:pPr>
        <w:pStyle w:val="NormalWeb"/>
        <w:spacing w:before="0" w:beforeAutospacing="0" w:after="0" w:afterAutospacing="0" w:line="276" w:lineRule="auto"/>
        <w:jc w:val="both"/>
      </w:pPr>
      <w:r w:rsidRPr="00804D06">
        <w:t>Summary</w:t>
      </w:r>
    </w:p>
    <w:p w:rsidR="00926EE9" w:rsidRPr="00804D06" w:rsidRDefault="00926EE9" w:rsidP="00D23BD9">
      <w:pPr>
        <w:pStyle w:val="NormalWeb"/>
        <w:spacing w:before="0" w:beforeAutospacing="0" w:after="0" w:afterAutospacing="0" w:line="276" w:lineRule="auto"/>
        <w:jc w:val="both"/>
      </w:pPr>
      <w:r w:rsidRPr="00804D06">
        <w:rPr>
          <w:i/>
        </w:rPr>
        <w:lastRenderedPageBreak/>
        <w:t>Phytophthora is</w:t>
      </w:r>
      <w:r w:rsidRPr="00804D06">
        <w:t xml:space="preserve"> a genus of the class Oomycetes, consisting of more than 150 species. Some of them cause damage on forest vegetation, while others are pathogens on crop plants. Some </w:t>
      </w:r>
      <w:r w:rsidRPr="00804D06">
        <w:rPr>
          <w:i/>
        </w:rPr>
        <w:t>Phytophthora species</w:t>
      </w:r>
      <w:r w:rsidRPr="00804D06">
        <w:t xml:space="preserve"> are related to aquatic habitats, as well as moist soil environments. The aim of this study is isolation and characterization of </w:t>
      </w:r>
      <w:r w:rsidRPr="00804D06">
        <w:rPr>
          <w:i/>
        </w:rPr>
        <w:t>Phytophthora species</w:t>
      </w:r>
      <w:r w:rsidRPr="00804D06">
        <w:t xml:space="preserve"> from the upper stream of the Osam River. Twenty </w:t>
      </w:r>
      <w:r w:rsidRPr="00804D06">
        <w:rPr>
          <w:i/>
        </w:rPr>
        <w:t>Phytophthora isolates</w:t>
      </w:r>
      <w:r w:rsidRPr="00804D06">
        <w:t xml:space="preserve"> were recovered from four different locations in the river using a baiting method. Four species, </w:t>
      </w:r>
      <w:r w:rsidRPr="00804D06">
        <w:rPr>
          <w:i/>
        </w:rPr>
        <w:t>P. lacustris</w:t>
      </w:r>
      <w:r w:rsidRPr="00804D06">
        <w:t xml:space="preserve">, </w:t>
      </w:r>
      <w:r w:rsidRPr="00804D06">
        <w:rPr>
          <w:i/>
        </w:rPr>
        <w:t>P. gonapodyides</w:t>
      </w:r>
      <w:r w:rsidRPr="00804D06">
        <w:t xml:space="preserve">, </w:t>
      </w:r>
      <w:r w:rsidRPr="00804D06">
        <w:rPr>
          <w:i/>
        </w:rPr>
        <w:t>P. chlamydospora</w:t>
      </w:r>
      <w:r w:rsidRPr="00804D06">
        <w:t xml:space="preserve"> and </w:t>
      </w:r>
      <w:r w:rsidRPr="00804D06">
        <w:rPr>
          <w:i/>
        </w:rPr>
        <w:t>P. syringae</w:t>
      </w:r>
      <w:r w:rsidRPr="00804D06">
        <w:t xml:space="preserve">, were indentified using classical morphological methods and molecular analyses. </w:t>
      </w:r>
      <w:r w:rsidRPr="00804D06">
        <w:rPr>
          <w:i/>
        </w:rPr>
        <w:t>P. lacustris</w:t>
      </w:r>
      <w:r w:rsidRPr="00804D06">
        <w:t xml:space="preserve"> was defined as the most common and widely spread </w:t>
      </w:r>
      <w:r w:rsidRPr="00804D06">
        <w:rPr>
          <w:i/>
        </w:rPr>
        <w:t>Phytophthora species</w:t>
      </w:r>
      <w:r w:rsidRPr="00804D06">
        <w:t xml:space="preserve"> in the investigated region. Pathogenicity of isolated </w:t>
      </w:r>
      <w:r w:rsidRPr="00804D06">
        <w:rPr>
          <w:i/>
        </w:rPr>
        <w:t>Phytophthora species</w:t>
      </w:r>
      <w:r w:rsidRPr="00804D06">
        <w:t xml:space="preserve"> to berry plants (strawberry, blackberry, cranberry) was analyzed by inoculation of detached leaves. Results of the analyses showed that </w:t>
      </w:r>
      <w:r w:rsidRPr="00804D06">
        <w:rPr>
          <w:i/>
        </w:rPr>
        <w:t>P. lacustris</w:t>
      </w:r>
      <w:r w:rsidRPr="00804D06">
        <w:t xml:space="preserve">, </w:t>
      </w:r>
      <w:r w:rsidRPr="00804D06">
        <w:rPr>
          <w:i/>
        </w:rPr>
        <w:t>P. chlamydospora</w:t>
      </w:r>
      <w:r w:rsidRPr="00804D06">
        <w:t xml:space="preserve">, </w:t>
      </w:r>
      <w:r w:rsidRPr="00804D06">
        <w:rPr>
          <w:i/>
        </w:rPr>
        <w:t>P. syringae</w:t>
      </w:r>
      <w:r w:rsidRPr="00804D06">
        <w:t xml:space="preserve"> and </w:t>
      </w:r>
      <w:r w:rsidRPr="00804D06">
        <w:rPr>
          <w:i/>
        </w:rPr>
        <w:t>P. gonapodyides</w:t>
      </w:r>
      <w:r w:rsidRPr="00804D06">
        <w:t xml:space="preserve"> can infect wild berry plants, as well as cultivated species. They are a potential threat for the vegetation in the region of the Osam River and can affect different plant species in both natural ecosystems and agricultural areas.</w:t>
      </w:r>
    </w:p>
    <w:p w:rsidR="00926EE9" w:rsidRPr="00804D06" w:rsidRDefault="00926EE9" w:rsidP="00D23BD9">
      <w:pPr>
        <w:pStyle w:val="NormalWeb"/>
        <w:spacing w:before="0" w:beforeAutospacing="0" w:after="0" w:afterAutospacing="0" w:line="276" w:lineRule="auto"/>
        <w:jc w:val="both"/>
      </w:pPr>
    </w:p>
    <w:p w:rsidR="00926EE9" w:rsidRPr="00804D06" w:rsidRDefault="00926EE9" w:rsidP="00D23BD9">
      <w:pPr>
        <w:pStyle w:val="NormalWeb"/>
        <w:spacing w:before="0" w:beforeAutospacing="0" w:after="0" w:afterAutospacing="0" w:line="276" w:lineRule="auto"/>
        <w:jc w:val="both"/>
        <w:rPr>
          <w:lang w:val="bg-BG"/>
        </w:rPr>
      </w:pPr>
      <w:r w:rsidRPr="00804D06">
        <w:rPr>
          <w:lang w:val="bg-BG"/>
        </w:rPr>
        <w:t>Разнообразие и патогенност на видове от род Phytophthora, изолирани от река Осъм</w:t>
      </w:r>
    </w:p>
    <w:p w:rsidR="00926EE9" w:rsidRPr="00804D06" w:rsidRDefault="00926EE9" w:rsidP="00D23BD9">
      <w:pPr>
        <w:pStyle w:val="NormalWeb"/>
        <w:spacing w:before="0" w:beforeAutospacing="0" w:after="0" w:afterAutospacing="0" w:line="276" w:lineRule="auto"/>
        <w:jc w:val="both"/>
        <w:rPr>
          <w:lang w:val="bg-BG"/>
        </w:rPr>
      </w:pPr>
    </w:p>
    <w:p w:rsidR="00926EE9" w:rsidRPr="00804D06" w:rsidRDefault="00926EE9" w:rsidP="00D23BD9">
      <w:pPr>
        <w:pStyle w:val="NormalWeb"/>
        <w:spacing w:before="0" w:beforeAutospacing="0" w:after="0" w:afterAutospacing="0" w:line="276" w:lineRule="auto"/>
        <w:jc w:val="both"/>
        <w:rPr>
          <w:lang w:val="bg-BG"/>
        </w:rPr>
      </w:pPr>
      <w:r w:rsidRPr="00804D06">
        <w:rPr>
          <w:lang w:val="bg-BG"/>
        </w:rPr>
        <w:t xml:space="preserve">Резюме </w:t>
      </w:r>
    </w:p>
    <w:p w:rsidR="00926EE9" w:rsidRPr="00804D06" w:rsidRDefault="00926EE9" w:rsidP="00D23BD9">
      <w:pPr>
        <w:pStyle w:val="NormalWeb"/>
        <w:spacing w:before="0" w:beforeAutospacing="0" w:after="0" w:afterAutospacing="0" w:line="276" w:lineRule="auto"/>
        <w:jc w:val="both"/>
        <w:rPr>
          <w:lang w:val="bg-BG"/>
        </w:rPr>
      </w:pPr>
      <w:r w:rsidRPr="00804D06">
        <w:rPr>
          <w:lang w:val="bg-BG"/>
        </w:rPr>
        <w:t xml:space="preserve">Род </w:t>
      </w:r>
      <w:r w:rsidRPr="00804D06">
        <w:t>Phytophthora</w:t>
      </w:r>
      <w:r w:rsidRPr="00804D06">
        <w:rPr>
          <w:lang w:val="bg-BG"/>
        </w:rPr>
        <w:t xml:space="preserve"> принадлежи към клас </w:t>
      </w:r>
      <w:r w:rsidRPr="00804D06">
        <w:t>Oomycetes</w:t>
      </w:r>
      <w:r w:rsidRPr="00804D06">
        <w:rPr>
          <w:lang w:val="bg-BG"/>
        </w:rPr>
        <w:t xml:space="preserve"> и се състои от над 150 вида. Някои от тях нанасят щети по горската растителност, докато други са патогени по земеделските култури. Част от видовете </w:t>
      </w:r>
      <w:r w:rsidRPr="00804D06">
        <w:t>Phytophthora</w:t>
      </w:r>
      <w:r w:rsidRPr="00804D06">
        <w:rPr>
          <w:lang w:val="bg-BG"/>
        </w:rPr>
        <w:t xml:space="preserve"> са свързани с водни местообитания, както и с влажни почвени среди. Целта на настоящото изследване е изолиране и характеризиране на видове </w:t>
      </w:r>
      <w:r w:rsidRPr="00804D06">
        <w:t>Phytophthora</w:t>
      </w:r>
      <w:r w:rsidRPr="00804D06">
        <w:rPr>
          <w:lang w:val="bg-BG"/>
        </w:rPr>
        <w:t xml:space="preserve"> от горното течение на река Осъм. От четири различни местоположения по реката са събрани 20 изолата по метода на уловките. С помощта на класически морфологични методи и молекулярни анализи те са отнесени към четири вида </w:t>
      </w:r>
      <w:r w:rsidRPr="00804D06">
        <w:t>Phytophthora</w:t>
      </w:r>
      <w:r w:rsidRPr="00804D06">
        <w:rPr>
          <w:lang w:val="bg-BG"/>
        </w:rPr>
        <w:t xml:space="preserve"> – </w:t>
      </w:r>
      <w:r w:rsidRPr="00804D06">
        <w:rPr>
          <w:i/>
        </w:rPr>
        <w:t>P</w:t>
      </w:r>
      <w:r w:rsidRPr="00804D06">
        <w:rPr>
          <w:i/>
          <w:lang w:val="bg-BG"/>
        </w:rPr>
        <w:t xml:space="preserve">. </w:t>
      </w:r>
      <w:r w:rsidRPr="00804D06">
        <w:rPr>
          <w:i/>
        </w:rPr>
        <w:t>lacustris</w:t>
      </w:r>
      <w:r w:rsidRPr="00804D06">
        <w:rPr>
          <w:lang w:val="bg-BG"/>
        </w:rPr>
        <w:t xml:space="preserve">, </w:t>
      </w:r>
      <w:r w:rsidRPr="00804D06">
        <w:rPr>
          <w:i/>
        </w:rPr>
        <w:t>P</w:t>
      </w:r>
      <w:r w:rsidRPr="00804D06">
        <w:rPr>
          <w:i/>
          <w:lang w:val="bg-BG"/>
        </w:rPr>
        <w:t xml:space="preserve">. </w:t>
      </w:r>
      <w:r w:rsidRPr="00804D06">
        <w:rPr>
          <w:i/>
        </w:rPr>
        <w:t>gonapodyides</w:t>
      </w:r>
      <w:r w:rsidRPr="00804D06">
        <w:rPr>
          <w:lang w:val="bg-BG"/>
        </w:rPr>
        <w:t xml:space="preserve">, </w:t>
      </w:r>
      <w:r w:rsidRPr="00804D06">
        <w:rPr>
          <w:i/>
        </w:rPr>
        <w:t>P</w:t>
      </w:r>
      <w:r w:rsidRPr="00804D06">
        <w:rPr>
          <w:i/>
          <w:lang w:val="bg-BG"/>
        </w:rPr>
        <w:t xml:space="preserve">. </w:t>
      </w:r>
      <w:r w:rsidRPr="00804D06">
        <w:rPr>
          <w:i/>
        </w:rPr>
        <w:t>chlamydospora</w:t>
      </w:r>
      <w:r w:rsidRPr="00804D06">
        <w:rPr>
          <w:lang w:val="bg-BG"/>
        </w:rPr>
        <w:t xml:space="preserve"> и </w:t>
      </w:r>
      <w:r w:rsidRPr="00804D06">
        <w:rPr>
          <w:i/>
        </w:rPr>
        <w:t>P</w:t>
      </w:r>
      <w:r w:rsidRPr="00804D06">
        <w:rPr>
          <w:i/>
          <w:lang w:val="bg-BG"/>
        </w:rPr>
        <w:t xml:space="preserve">. </w:t>
      </w:r>
      <w:r w:rsidRPr="00804D06">
        <w:rPr>
          <w:i/>
        </w:rPr>
        <w:t>syringae</w:t>
      </w:r>
      <w:r w:rsidRPr="00804D06">
        <w:rPr>
          <w:lang w:val="bg-BG"/>
        </w:rPr>
        <w:t xml:space="preserve">. </w:t>
      </w:r>
      <w:r w:rsidRPr="00804D06">
        <w:rPr>
          <w:i/>
        </w:rPr>
        <w:t>P</w:t>
      </w:r>
      <w:r w:rsidRPr="00804D06">
        <w:rPr>
          <w:i/>
          <w:lang w:val="bg-BG"/>
        </w:rPr>
        <w:t xml:space="preserve">. </w:t>
      </w:r>
      <w:r w:rsidRPr="00804D06">
        <w:rPr>
          <w:i/>
        </w:rPr>
        <w:t>lacustris</w:t>
      </w:r>
      <w:r w:rsidRPr="00804D06">
        <w:rPr>
          <w:lang w:val="bg-BG"/>
        </w:rPr>
        <w:t xml:space="preserve"> е определен като най-често срещан и най-разпространен вид в проучвания район. Изследвана е патогенността на изолираните видове </w:t>
      </w:r>
      <w:r w:rsidRPr="00804D06">
        <w:t>Phytophthora</w:t>
      </w:r>
      <w:r w:rsidRPr="00804D06">
        <w:rPr>
          <w:lang w:val="bg-BG"/>
        </w:rPr>
        <w:t xml:space="preserve"> към ягодоплодни растения (ягода, къпина, червена боровинка) чрез заразяване на откъснати лист</w:t>
      </w:r>
      <w:r w:rsidRPr="00804D06">
        <w:t>a</w:t>
      </w:r>
      <w:r w:rsidRPr="00804D06">
        <w:rPr>
          <w:lang w:val="bg-BG"/>
        </w:rPr>
        <w:t xml:space="preserve">. Резултатите от анализите показват, че </w:t>
      </w:r>
      <w:r w:rsidRPr="00804D06">
        <w:rPr>
          <w:i/>
        </w:rPr>
        <w:t>P</w:t>
      </w:r>
      <w:r w:rsidRPr="00804D06">
        <w:rPr>
          <w:i/>
          <w:lang w:val="bg-BG"/>
        </w:rPr>
        <w:t xml:space="preserve">. </w:t>
      </w:r>
      <w:r w:rsidRPr="00804D06">
        <w:rPr>
          <w:i/>
        </w:rPr>
        <w:t>lacustris</w:t>
      </w:r>
      <w:r w:rsidRPr="00804D06">
        <w:rPr>
          <w:lang w:val="bg-BG"/>
        </w:rPr>
        <w:t xml:space="preserve">, </w:t>
      </w:r>
      <w:r w:rsidRPr="00804D06">
        <w:rPr>
          <w:i/>
        </w:rPr>
        <w:t>P</w:t>
      </w:r>
      <w:r w:rsidRPr="00804D06">
        <w:rPr>
          <w:i/>
          <w:lang w:val="bg-BG"/>
        </w:rPr>
        <w:t xml:space="preserve">. </w:t>
      </w:r>
      <w:r w:rsidRPr="00804D06">
        <w:rPr>
          <w:i/>
        </w:rPr>
        <w:t>chlamydospora</w:t>
      </w:r>
      <w:r w:rsidRPr="00804D06">
        <w:rPr>
          <w:lang w:val="bg-BG"/>
        </w:rPr>
        <w:t xml:space="preserve">, </w:t>
      </w:r>
      <w:r w:rsidRPr="00804D06">
        <w:rPr>
          <w:i/>
        </w:rPr>
        <w:t>P</w:t>
      </w:r>
      <w:r w:rsidRPr="00804D06">
        <w:rPr>
          <w:i/>
          <w:lang w:val="bg-BG"/>
        </w:rPr>
        <w:t xml:space="preserve">. </w:t>
      </w:r>
      <w:r w:rsidRPr="00804D06">
        <w:rPr>
          <w:i/>
        </w:rPr>
        <w:t>gonapodyides</w:t>
      </w:r>
      <w:r w:rsidRPr="00804D06">
        <w:rPr>
          <w:lang w:val="bg-BG"/>
        </w:rPr>
        <w:t xml:space="preserve"> и </w:t>
      </w:r>
      <w:r w:rsidRPr="00804D06">
        <w:rPr>
          <w:i/>
        </w:rPr>
        <w:t>P</w:t>
      </w:r>
      <w:r w:rsidRPr="00804D06">
        <w:rPr>
          <w:i/>
          <w:lang w:val="bg-BG"/>
        </w:rPr>
        <w:t xml:space="preserve">. </w:t>
      </w:r>
      <w:r w:rsidRPr="00804D06">
        <w:rPr>
          <w:i/>
        </w:rPr>
        <w:t>syringae</w:t>
      </w:r>
      <w:r w:rsidRPr="00804D06">
        <w:rPr>
          <w:lang w:val="bg-BG"/>
        </w:rPr>
        <w:t xml:space="preserve"> могат да заразяват както диворастящи, така и култивирани ягодоплодни растения. Изследваните патогени представляват потенциална заплаха за растителността в района на река Осъм и могат да засегнат различни растителни видове както в природните екосистеми така и в селскостопанските райони.</w:t>
      </w:r>
    </w:p>
    <w:p w:rsidR="00926EE9" w:rsidRDefault="00926EE9" w:rsidP="00D23BD9">
      <w:pPr>
        <w:jc w:val="both"/>
        <w:rPr>
          <w:lang w:val="bg-BG"/>
        </w:rPr>
      </w:pPr>
    </w:p>
    <w:p w:rsidR="00926EE9" w:rsidRPr="00804D06" w:rsidRDefault="00926EE9" w:rsidP="00D23BD9">
      <w:pPr>
        <w:pStyle w:val="NormalWeb"/>
        <w:numPr>
          <w:ilvl w:val="0"/>
          <w:numId w:val="1"/>
        </w:numPr>
        <w:spacing w:before="0" w:beforeAutospacing="0" w:after="0" w:afterAutospacing="0" w:line="276" w:lineRule="auto"/>
        <w:jc w:val="both"/>
      </w:pPr>
      <w:r w:rsidRPr="00804D06">
        <w:t xml:space="preserve">Kleter, G., Pla, M., Ronchi, B., Terre, M., Einspanier, R., McFarland, S., Bach, A., Bernabucci, U., Bikker, P., Busani, L., Kok, E., </w:t>
      </w:r>
      <w:r w:rsidRPr="00804D06">
        <w:rPr>
          <w:b/>
        </w:rPr>
        <w:t>Kostov, K.</w:t>
      </w:r>
      <w:r w:rsidRPr="00804D06">
        <w:t xml:space="preserve">, Nadal, A. (2018) Surveying selected European feed and livestock production chains for features enabling the case-specific post-market monitoring of livestock for intake and potential health impacts of </w:t>
      </w:r>
      <w:r w:rsidRPr="00804D06">
        <w:lastRenderedPageBreak/>
        <w:t xml:space="preserve">animal feeds derived from genetically modified crops. Food and Chemical Toxicology 117, 66–78. </w:t>
      </w:r>
      <w:r w:rsidRPr="002D537F">
        <w:rPr>
          <w:b/>
        </w:rPr>
        <w:t>(</w:t>
      </w:r>
      <w:r w:rsidR="002008A5">
        <w:rPr>
          <w:b/>
        </w:rPr>
        <w:t>Г7.</w:t>
      </w:r>
      <w:r w:rsidRPr="002D537F">
        <w:rPr>
          <w:b/>
        </w:rPr>
        <w:t>7)</w:t>
      </w:r>
    </w:p>
    <w:p w:rsidR="00926EE9" w:rsidRPr="00804D06" w:rsidRDefault="00926EE9" w:rsidP="00D23BD9">
      <w:pPr>
        <w:pStyle w:val="NormalWeb"/>
        <w:spacing w:before="0" w:beforeAutospacing="0" w:after="0" w:afterAutospacing="0" w:line="276" w:lineRule="auto"/>
        <w:jc w:val="both"/>
      </w:pPr>
    </w:p>
    <w:p w:rsidR="00926EE9" w:rsidRPr="00804D06" w:rsidRDefault="00926EE9" w:rsidP="00D23BD9">
      <w:pPr>
        <w:pStyle w:val="NormalWeb"/>
        <w:spacing w:before="0" w:beforeAutospacing="0" w:after="0" w:afterAutospacing="0" w:line="276" w:lineRule="auto"/>
        <w:jc w:val="both"/>
      </w:pPr>
      <w:r w:rsidRPr="00804D06">
        <w:t>Surveying selected European feed and livestock production chains for features enabling the case-specific post-market monitoring of livestock for intake and potential health impacts of animal feeds derived from genetically modified crops</w:t>
      </w:r>
    </w:p>
    <w:p w:rsidR="00926EE9" w:rsidRPr="00804D06" w:rsidRDefault="00926EE9" w:rsidP="00D23BD9">
      <w:pPr>
        <w:pStyle w:val="NormalWeb"/>
        <w:spacing w:before="0" w:beforeAutospacing="0" w:after="0" w:afterAutospacing="0" w:line="276" w:lineRule="auto"/>
        <w:jc w:val="both"/>
      </w:pPr>
    </w:p>
    <w:p w:rsidR="00926EE9" w:rsidRPr="00804D06" w:rsidRDefault="00926EE9" w:rsidP="00D23BD9">
      <w:pPr>
        <w:pStyle w:val="NormalWeb"/>
        <w:spacing w:before="0" w:beforeAutospacing="0" w:after="0" w:afterAutospacing="0" w:line="276" w:lineRule="auto"/>
        <w:jc w:val="both"/>
      </w:pPr>
      <w:r w:rsidRPr="00804D06">
        <w:t>Abstract</w:t>
      </w:r>
    </w:p>
    <w:p w:rsidR="00926EE9" w:rsidRPr="00804D06" w:rsidRDefault="00926EE9" w:rsidP="00D23BD9">
      <w:pPr>
        <w:pStyle w:val="NormalWeb"/>
        <w:spacing w:before="0" w:beforeAutospacing="0" w:after="0" w:afterAutospacing="0" w:line="276" w:lineRule="auto"/>
        <w:jc w:val="both"/>
      </w:pPr>
      <w:r w:rsidRPr="00804D06">
        <w:t>This review, which has been prepared within the frame of the European Union (EU)-funded project MARLON, surveys the organisation and characteristics of specific livestock and feed production chains (conventional, organic, GM-free) within the EU, with an emphasis on controls, regulations, traceability, and common production practices. Furthermore, an overview of the origin of animal feed used in the EU as well as an examination of the use of genetically modified organisms (GMOs) in feed is provided. From the data, it shows that livestock is traceable at the herd or individual level, depending on the species. Husbandry practices can vary widely according to geography and animal species, whilst controls and checks are in place for notable diseases and general health symptoms (such as mortality, disease, productive performance). For feeds, it would be possible only to make coarse estimates, at best, for the amount of GM feed ingredients that an animal is exposed to. Labelling requirements are apparently correctly followed. Provided that confounding factors are taken into account, practices such as organic agriculture that explicitly involve the use of non-GM feeds could be used for comparison to those involving the use of GM feed.</w:t>
      </w:r>
    </w:p>
    <w:p w:rsidR="00926EE9" w:rsidRPr="00804D06" w:rsidRDefault="00926EE9" w:rsidP="00D23BD9">
      <w:pPr>
        <w:pStyle w:val="NormalWeb"/>
        <w:spacing w:before="0" w:beforeAutospacing="0" w:after="0" w:afterAutospacing="0" w:line="276" w:lineRule="auto"/>
        <w:jc w:val="both"/>
      </w:pPr>
    </w:p>
    <w:p w:rsidR="00926EE9" w:rsidRPr="00804D06" w:rsidRDefault="00926EE9" w:rsidP="00D23BD9">
      <w:pPr>
        <w:pStyle w:val="NormalWeb"/>
        <w:spacing w:before="0" w:beforeAutospacing="0" w:after="0" w:afterAutospacing="0" w:line="276" w:lineRule="auto"/>
        <w:jc w:val="both"/>
        <w:rPr>
          <w:lang w:val="bg-BG"/>
        </w:rPr>
      </w:pPr>
      <w:r w:rsidRPr="00804D06">
        <w:rPr>
          <w:lang w:val="bg-BG"/>
        </w:rPr>
        <w:t xml:space="preserve">Проучване на избрани европейски вериги за производство на фуражи и отглеждане на животни за характеристики, позволяващи специфично, след-пазарно наблюдение на домашните животни относно приемът и потенциалното въздействие върху здравето на фуражи, получени от генетично модифицирани култури </w:t>
      </w:r>
    </w:p>
    <w:p w:rsidR="00926EE9" w:rsidRPr="00804D06" w:rsidRDefault="00926EE9" w:rsidP="00D23BD9">
      <w:pPr>
        <w:pStyle w:val="NormalWeb"/>
        <w:spacing w:before="0" w:beforeAutospacing="0" w:after="0" w:afterAutospacing="0" w:line="276" w:lineRule="auto"/>
        <w:jc w:val="both"/>
        <w:rPr>
          <w:lang w:val="bg-BG"/>
        </w:rPr>
      </w:pPr>
    </w:p>
    <w:p w:rsidR="00926EE9" w:rsidRPr="00804D06" w:rsidRDefault="00926EE9" w:rsidP="00D23BD9">
      <w:pPr>
        <w:pStyle w:val="NormalWeb"/>
        <w:spacing w:before="0" w:beforeAutospacing="0" w:after="0" w:afterAutospacing="0" w:line="276" w:lineRule="auto"/>
        <w:jc w:val="both"/>
        <w:rPr>
          <w:lang w:val="bg-BG"/>
        </w:rPr>
      </w:pPr>
      <w:r w:rsidRPr="00804D06">
        <w:rPr>
          <w:lang w:val="bg-BG"/>
        </w:rPr>
        <w:t>Резюме</w:t>
      </w:r>
    </w:p>
    <w:p w:rsidR="00926EE9" w:rsidRPr="00804D06" w:rsidRDefault="00926EE9" w:rsidP="00D23BD9">
      <w:pPr>
        <w:pStyle w:val="NormalWeb"/>
        <w:spacing w:before="0" w:beforeAutospacing="0" w:after="0" w:afterAutospacing="0" w:line="276" w:lineRule="auto"/>
        <w:jc w:val="both"/>
        <w:rPr>
          <w:lang w:val="bg-BG"/>
        </w:rPr>
      </w:pPr>
      <w:r w:rsidRPr="00804D06">
        <w:rPr>
          <w:lang w:val="bg-BG"/>
        </w:rPr>
        <w:t xml:space="preserve">Този преглед, който е изготвен в рамките на финансирания от Европейския съюз (ЕС) проект MARLON, изследва организацията и характеристиките на специфични вериги за производство на животни и фуражи (конвенционални, биологични, без ГМО) в рамките на ЕС, с акцент върху контрола, регулациите, проследимостта и общите производствени практики. Освен това е предоставен общ преглед на произхода на фуражите за животни, използвани в ЕС, както и преглед на употребата на генетично модифицирани организми (ГМО) в производството на фуражи. От данните се вижда, че домашните животни се проследяват на ниво стадо или индивид, в зависимост от вида. Животновъдните практики могат да варират значително в зависимост от географията и вида животни, докато контролът и проверките са налице за значими заболявания и общи здравословни показатели (като смъртност, болести, продуктивни показатели). За фуражите би било възможно да се </w:t>
      </w:r>
      <w:r w:rsidRPr="00804D06">
        <w:rPr>
          <w:lang w:val="bg-BG"/>
        </w:rPr>
        <w:lastRenderedPageBreak/>
        <w:t>правят само груби оценки, в най-добрия случай, за количеството ГМ съставки във фуражите, на които е изложено животното. Изискванията за етикетиране очевидно се спазват правилно. При условие че се вземат предвид объркващите фактори, практики като биологичното земеделие, които изрично включват използването на немодифцирани фуражи, биха могли да се използват за сравнение с тези, които включват използването на модифицирани фуражи.</w:t>
      </w:r>
    </w:p>
    <w:p w:rsidR="00926EE9" w:rsidRDefault="00926EE9" w:rsidP="00D23BD9">
      <w:pPr>
        <w:jc w:val="both"/>
        <w:rPr>
          <w:lang w:val="bg-BG"/>
        </w:rPr>
      </w:pPr>
    </w:p>
    <w:p w:rsidR="00926EE9" w:rsidRPr="00804D06" w:rsidRDefault="00926EE9" w:rsidP="00D23BD9">
      <w:pPr>
        <w:pStyle w:val="NormalWeb"/>
        <w:numPr>
          <w:ilvl w:val="0"/>
          <w:numId w:val="1"/>
        </w:numPr>
        <w:spacing w:before="0" w:beforeAutospacing="0" w:after="0" w:afterAutospacing="0" w:line="276" w:lineRule="auto"/>
        <w:jc w:val="both"/>
      </w:pPr>
      <w:r w:rsidRPr="00804D06">
        <w:t xml:space="preserve">Slavov, S., Lyubenova, A., </w:t>
      </w:r>
      <w:r w:rsidRPr="00920E57">
        <w:rPr>
          <w:b/>
        </w:rPr>
        <w:t>Kostov, K.</w:t>
      </w:r>
      <w:r w:rsidRPr="00804D06">
        <w:t xml:space="preserve">, Christova, P. (2018) Oomycotes from genus </w:t>
      </w:r>
      <w:r w:rsidRPr="00804D06">
        <w:rPr>
          <w:i/>
        </w:rPr>
        <w:t>Pythium found</w:t>
      </w:r>
      <w:r w:rsidRPr="00804D06">
        <w:t xml:space="preserve"> in water and soil samples in Bulgaria. Journal of Mountain Agriculture on the Balkans 21(2), 161–171. </w:t>
      </w:r>
      <w:r w:rsidRPr="002D537F">
        <w:rPr>
          <w:b/>
        </w:rPr>
        <w:t>(</w:t>
      </w:r>
      <w:r w:rsidR="002008A5">
        <w:rPr>
          <w:b/>
        </w:rPr>
        <w:t>Г7.</w:t>
      </w:r>
      <w:r w:rsidRPr="002D537F">
        <w:rPr>
          <w:b/>
        </w:rPr>
        <w:t>8)</w:t>
      </w:r>
    </w:p>
    <w:p w:rsidR="00926EE9" w:rsidRPr="00804D06" w:rsidRDefault="00926EE9" w:rsidP="00D23BD9">
      <w:pPr>
        <w:pStyle w:val="NormalWeb"/>
        <w:spacing w:before="0" w:beforeAutospacing="0" w:after="0" w:afterAutospacing="0" w:line="276" w:lineRule="auto"/>
        <w:jc w:val="both"/>
      </w:pPr>
    </w:p>
    <w:p w:rsidR="00926EE9" w:rsidRPr="00804D06" w:rsidRDefault="00926EE9" w:rsidP="00D23BD9">
      <w:pPr>
        <w:pStyle w:val="NormalWeb"/>
        <w:spacing w:before="0" w:beforeAutospacing="0" w:after="0" w:afterAutospacing="0" w:line="276" w:lineRule="auto"/>
        <w:jc w:val="both"/>
      </w:pPr>
      <w:r w:rsidRPr="00804D06">
        <w:t xml:space="preserve">Oomycotes from genus </w:t>
      </w:r>
      <w:r w:rsidRPr="00804D06">
        <w:rPr>
          <w:i/>
        </w:rPr>
        <w:t>Pythium found</w:t>
      </w:r>
      <w:r w:rsidRPr="00804D06">
        <w:t xml:space="preserve"> in water and soil samples in Bulgaria</w:t>
      </w:r>
    </w:p>
    <w:p w:rsidR="00926EE9" w:rsidRPr="00804D06" w:rsidRDefault="00926EE9" w:rsidP="00D23BD9">
      <w:pPr>
        <w:pStyle w:val="NormalWeb"/>
        <w:spacing w:before="0" w:beforeAutospacing="0" w:after="0" w:afterAutospacing="0" w:line="276" w:lineRule="auto"/>
        <w:jc w:val="both"/>
      </w:pPr>
    </w:p>
    <w:p w:rsidR="00926EE9" w:rsidRPr="00804D06" w:rsidRDefault="00926EE9" w:rsidP="00D23BD9">
      <w:pPr>
        <w:pStyle w:val="NormalWeb"/>
        <w:spacing w:before="0" w:beforeAutospacing="0" w:after="0" w:afterAutospacing="0" w:line="276" w:lineRule="auto"/>
        <w:jc w:val="both"/>
      </w:pPr>
      <w:r w:rsidRPr="00804D06">
        <w:t>Summary</w:t>
      </w:r>
    </w:p>
    <w:p w:rsidR="00926EE9" w:rsidRPr="00804D06" w:rsidRDefault="00926EE9" w:rsidP="00D23BD9">
      <w:pPr>
        <w:pStyle w:val="NormalWeb"/>
        <w:spacing w:before="0" w:beforeAutospacing="0" w:after="0" w:afterAutospacing="0" w:line="276" w:lineRule="auto"/>
        <w:jc w:val="both"/>
      </w:pPr>
      <w:r w:rsidRPr="00804D06">
        <w:t xml:space="preserve">Totally 22 </w:t>
      </w:r>
      <w:r w:rsidRPr="00804D06">
        <w:rPr>
          <w:i/>
        </w:rPr>
        <w:t>Pythium spp</w:t>
      </w:r>
      <w:r w:rsidRPr="00804D06">
        <w:t xml:space="preserve">. were isolated from soil samples. Among them 7 isolates were obtained from garden trade centers and forest nurseries, 10 from forests areas, 3 from orchards, one from a city park and one from a private yard. Another 20 isolates from rivers were also collected and determined as </w:t>
      </w:r>
      <w:r w:rsidRPr="00804D06">
        <w:rPr>
          <w:i/>
        </w:rPr>
        <w:t>Pythium spp</w:t>
      </w:r>
      <w:r w:rsidRPr="00804D06">
        <w:t xml:space="preserve">. according to the DNA sequencing of the internal transcribed spacer (ITS) region. Data shows the high inoculum potential of </w:t>
      </w:r>
      <w:r w:rsidRPr="00804D06">
        <w:rPr>
          <w:i/>
        </w:rPr>
        <w:t>Pythium spp</w:t>
      </w:r>
      <w:r w:rsidRPr="00804D06">
        <w:t xml:space="preserve">. present in soil and rivers throughout entire territory of Bulgaria, possible to trigger destructive plant diseases in nurseries and watering crops areas under favorable conditions. </w:t>
      </w:r>
      <w:r w:rsidRPr="00804D06">
        <w:rPr>
          <w:i/>
        </w:rPr>
        <w:t>Pythium spp</w:t>
      </w:r>
      <w:r w:rsidRPr="00804D06">
        <w:t xml:space="preserve">. are water moulds, present in most cultivated soils, but also in natural environment. Many of them are recorded as plant pathogens of economic importance in agriculture with large range of hosts and are more devastating by causing the root rot on plants. As Oomycotes they produce sporangia which release numerous swimming zoospores. The caused diseases are more severe during an extended period of high soil moisture, or in water systems, as motile zoospores move and spread through the water to infect healthy plants. Thus these plant pathogens can spread in irrigation water as well as by contaminated soil. We have investigated the presence of </w:t>
      </w:r>
      <w:r w:rsidRPr="00804D06">
        <w:rPr>
          <w:i/>
        </w:rPr>
        <w:t>Pythium species</w:t>
      </w:r>
      <w:r w:rsidRPr="00804D06">
        <w:t xml:space="preserve"> in soil samples associated with different plant hosts, derived from natural habitats or cultivated areas, and in water samples from rivers passing through diverse environments and regions in Bulgaria. Oomycotes organisms of genus </w:t>
      </w:r>
      <w:r w:rsidRPr="00804D06">
        <w:rPr>
          <w:i/>
        </w:rPr>
        <w:t>Pythium were</w:t>
      </w:r>
      <w:r w:rsidRPr="00804D06">
        <w:t xml:space="preserve"> found to be largely spread across the country.</w:t>
      </w:r>
    </w:p>
    <w:p w:rsidR="00926EE9" w:rsidRPr="00804D06" w:rsidRDefault="00926EE9" w:rsidP="00D23BD9">
      <w:pPr>
        <w:pStyle w:val="NormalWeb"/>
        <w:spacing w:before="0" w:beforeAutospacing="0" w:after="0" w:afterAutospacing="0" w:line="276" w:lineRule="auto"/>
        <w:jc w:val="both"/>
      </w:pPr>
    </w:p>
    <w:p w:rsidR="00926EE9" w:rsidRPr="00804D06" w:rsidRDefault="00926EE9" w:rsidP="00D23BD9">
      <w:pPr>
        <w:pStyle w:val="NormalWeb"/>
        <w:spacing w:before="0" w:beforeAutospacing="0" w:after="0" w:afterAutospacing="0" w:line="276" w:lineRule="auto"/>
        <w:jc w:val="both"/>
        <w:rPr>
          <w:lang w:val="bg-BG"/>
        </w:rPr>
      </w:pPr>
      <w:r w:rsidRPr="00804D06">
        <w:rPr>
          <w:lang w:val="bg-BG"/>
        </w:rPr>
        <w:t>Oomycotes от род Pythium изолирани от реки и почва в България</w:t>
      </w:r>
    </w:p>
    <w:p w:rsidR="00926EE9" w:rsidRPr="00804D06" w:rsidRDefault="00926EE9" w:rsidP="00D23BD9">
      <w:pPr>
        <w:pStyle w:val="NormalWeb"/>
        <w:spacing w:before="0" w:beforeAutospacing="0" w:after="0" w:afterAutospacing="0" w:line="276" w:lineRule="auto"/>
        <w:jc w:val="both"/>
        <w:rPr>
          <w:lang w:val="bg-BG"/>
        </w:rPr>
      </w:pPr>
    </w:p>
    <w:p w:rsidR="00926EE9" w:rsidRPr="00804D06" w:rsidRDefault="00926EE9" w:rsidP="00D23BD9">
      <w:pPr>
        <w:pStyle w:val="NormalWeb"/>
        <w:spacing w:before="0" w:beforeAutospacing="0" w:after="0" w:afterAutospacing="0" w:line="276" w:lineRule="auto"/>
        <w:jc w:val="both"/>
        <w:rPr>
          <w:lang w:val="bg-BG"/>
        </w:rPr>
      </w:pPr>
      <w:r w:rsidRPr="00804D06">
        <w:rPr>
          <w:lang w:val="bg-BG"/>
        </w:rPr>
        <w:t>Резюме</w:t>
      </w:r>
    </w:p>
    <w:p w:rsidR="00926EE9" w:rsidRPr="00804D06" w:rsidRDefault="00926EE9" w:rsidP="00D23BD9">
      <w:pPr>
        <w:pStyle w:val="NormalWeb"/>
        <w:spacing w:before="0" w:beforeAutospacing="0" w:after="0" w:afterAutospacing="0" w:line="276" w:lineRule="auto"/>
        <w:jc w:val="both"/>
        <w:rPr>
          <w:lang w:val="bg-BG"/>
        </w:rPr>
      </w:pPr>
      <w:r w:rsidRPr="00804D06">
        <w:rPr>
          <w:i/>
        </w:rPr>
        <w:t>Pythium</w:t>
      </w:r>
      <w:r w:rsidRPr="00804D06">
        <w:rPr>
          <w:i/>
          <w:lang w:val="bg-BG"/>
        </w:rPr>
        <w:t xml:space="preserve"> </w:t>
      </w:r>
      <w:r w:rsidRPr="00804D06">
        <w:rPr>
          <w:i/>
        </w:rPr>
        <w:t>spp</w:t>
      </w:r>
      <w:r w:rsidRPr="00804D06">
        <w:rPr>
          <w:lang w:val="bg-BG"/>
        </w:rPr>
        <w:t xml:space="preserve">. са водни плесени, присъстващи в почвата на култивирани площи и в естествени природни райони. Много от тях са известни като икономически значими растителни патогени с широк кръг гостоприемници, причиняващи опасно кореново гниене по растенията. Като </w:t>
      </w:r>
      <w:r w:rsidRPr="00804D06">
        <w:t>Oomycotes</w:t>
      </w:r>
      <w:r w:rsidRPr="00804D06">
        <w:rPr>
          <w:lang w:val="bg-BG"/>
        </w:rPr>
        <w:t xml:space="preserve"> те образуват спорангии, които освобождават множество плуващи зооспори. Причиняваните от тях болести са най-опасни в продължителни периоди </w:t>
      </w:r>
      <w:r w:rsidRPr="00804D06">
        <w:rPr>
          <w:lang w:val="bg-BG"/>
        </w:rPr>
        <w:lastRenderedPageBreak/>
        <w:t xml:space="preserve">с висока почвена влажност или с използването на водни системи, тъй като подвижните зооспори могат да се пренесат чрез водата и да инфектират здрави растения. По този начин тези растителни патогени се разпространяват с поливната вода и чрез заразена почва. Ние проучихме наличието на видове от род </w:t>
      </w:r>
      <w:r w:rsidRPr="00804D06">
        <w:t>Pythium</w:t>
      </w:r>
      <w:r w:rsidRPr="00804D06">
        <w:rPr>
          <w:lang w:val="bg-BG"/>
        </w:rPr>
        <w:t xml:space="preserve"> в почвени проби, асоциирани с различни гостоприемници, произхождащи от разнообразни природни местообитания и култивирани площи, а също така и във водни проби от реки преминаващи през разнообразни релефни и климатични райони в България. Установено е, че представители от род </w:t>
      </w:r>
      <w:r w:rsidRPr="00804D06">
        <w:t>Pythium</w:t>
      </w:r>
      <w:r w:rsidRPr="00804D06">
        <w:rPr>
          <w:lang w:val="bg-BG"/>
        </w:rPr>
        <w:t xml:space="preserve"> са широко разпространени на територи</w:t>
      </w:r>
      <w:r>
        <w:rPr>
          <w:lang w:val="bg-BG"/>
        </w:rPr>
        <w:t>ята на цялата страна. От почве</w:t>
      </w:r>
      <w:r w:rsidRPr="00804D06">
        <w:rPr>
          <w:lang w:val="bg-BG"/>
        </w:rPr>
        <w:t xml:space="preserve">ните проби са получени общо 22 изолата принадлежащи към </w:t>
      </w:r>
      <w:r w:rsidRPr="00804D06">
        <w:rPr>
          <w:i/>
        </w:rPr>
        <w:t>Pythium</w:t>
      </w:r>
      <w:r w:rsidRPr="00804D06">
        <w:rPr>
          <w:i/>
          <w:lang w:val="bg-BG"/>
        </w:rPr>
        <w:t xml:space="preserve"> </w:t>
      </w:r>
      <w:r w:rsidRPr="00804D06">
        <w:rPr>
          <w:i/>
        </w:rPr>
        <w:t>spp</w:t>
      </w:r>
      <w:r w:rsidRPr="00804D06">
        <w:rPr>
          <w:lang w:val="bg-BG"/>
        </w:rPr>
        <w:t xml:space="preserve">. От тях 7 са от градински търговски центрове или горски разсадници, 10 от горски площи, 3 от овощни градини, един от градски парк и един от частен двор. Други 20 изолата са намерени в реки и са определени също като </w:t>
      </w:r>
      <w:r w:rsidRPr="00804D06">
        <w:rPr>
          <w:i/>
        </w:rPr>
        <w:t>Pythium</w:t>
      </w:r>
      <w:r w:rsidRPr="00804D06">
        <w:rPr>
          <w:i/>
          <w:lang w:val="bg-BG"/>
        </w:rPr>
        <w:t xml:space="preserve"> </w:t>
      </w:r>
      <w:r w:rsidRPr="00804D06">
        <w:rPr>
          <w:i/>
        </w:rPr>
        <w:t>spp</w:t>
      </w:r>
      <w:r w:rsidRPr="00804D06">
        <w:rPr>
          <w:lang w:val="bg-BG"/>
        </w:rPr>
        <w:t xml:space="preserve">. според ДНК секвенцията на </w:t>
      </w:r>
      <w:r w:rsidRPr="00804D06">
        <w:t>ITS</w:t>
      </w:r>
      <w:r w:rsidRPr="00804D06">
        <w:rPr>
          <w:lang w:val="bg-BG"/>
        </w:rPr>
        <w:t xml:space="preserve"> региона. Данните показват голямо количество инокулум от </w:t>
      </w:r>
      <w:r w:rsidRPr="00804D06">
        <w:rPr>
          <w:i/>
        </w:rPr>
        <w:t>Pythium</w:t>
      </w:r>
      <w:r w:rsidRPr="00804D06">
        <w:rPr>
          <w:i/>
          <w:lang w:val="bg-BG"/>
        </w:rPr>
        <w:t xml:space="preserve"> </w:t>
      </w:r>
      <w:r w:rsidRPr="00804D06">
        <w:rPr>
          <w:i/>
        </w:rPr>
        <w:t>spp</w:t>
      </w:r>
      <w:r w:rsidRPr="00804D06">
        <w:rPr>
          <w:lang w:val="bg-BG"/>
        </w:rPr>
        <w:t>. наличен в почвата и реките по цялата територия на България, който има потенциал да причини разрушителни болести по растенията в разсадници и площи с поливни култури при подходящи климатични условия.</w:t>
      </w:r>
    </w:p>
    <w:p w:rsidR="00926EE9" w:rsidRDefault="00926EE9" w:rsidP="00D23BD9">
      <w:pPr>
        <w:jc w:val="both"/>
        <w:rPr>
          <w:lang w:val="bg-BG"/>
        </w:rPr>
      </w:pPr>
    </w:p>
    <w:p w:rsidR="002C299A" w:rsidRPr="00804D06" w:rsidRDefault="002C299A" w:rsidP="00D23BD9">
      <w:pPr>
        <w:pStyle w:val="NormalWeb"/>
        <w:numPr>
          <w:ilvl w:val="0"/>
          <w:numId w:val="1"/>
        </w:numPr>
        <w:spacing w:before="0" w:beforeAutospacing="0" w:after="0" w:afterAutospacing="0" w:line="276" w:lineRule="auto"/>
        <w:jc w:val="both"/>
      </w:pPr>
      <w:r w:rsidRPr="00804D06">
        <w:t xml:space="preserve">Nedelin, T., Gyosheva, M., </w:t>
      </w:r>
      <w:r w:rsidRPr="00804D06">
        <w:rPr>
          <w:b/>
        </w:rPr>
        <w:t>Kostov, K.</w:t>
      </w:r>
      <w:r w:rsidRPr="00804D06">
        <w:t xml:space="preserve">, Savev, S. (2016) New records and data on hypogeous ectomycorrhizal fungi in Bulgaria. Forestry Ideas 22(2), 113–126. </w:t>
      </w:r>
      <w:r w:rsidRPr="00730DCD">
        <w:rPr>
          <w:b/>
        </w:rPr>
        <w:t>(</w:t>
      </w:r>
      <w:r w:rsidR="002008A5">
        <w:rPr>
          <w:b/>
        </w:rPr>
        <w:t>Г7.</w:t>
      </w:r>
      <w:r w:rsidRPr="00730DCD">
        <w:rPr>
          <w:b/>
        </w:rPr>
        <w:t>9)</w:t>
      </w:r>
    </w:p>
    <w:p w:rsidR="002C299A" w:rsidRPr="00804D06" w:rsidRDefault="002C299A" w:rsidP="00D23BD9">
      <w:pPr>
        <w:pStyle w:val="NormalWeb"/>
        <w:spacing w:before="0" w:beforeAutospacing="0" w:after="0" w:afterAutospacing="0" w:line="276" w:lineRule="auto"/>
        <w:jc w:val="both"/>
      </w:pPr>
    </w:p>
    <w:p w:rsidR="002C299A" w:rsidRPr="00804D06" w:rsidRDefault="002C299A" w:rsidP="00D23BD9">
      <w:pPr>
        <w:pStyle w:val="NormalWeb"/>
        <w:spacing w:before="0" w:beforeAutospacing="0" w:after="0" w:afterAutospacing="0" w:line="276" w:lineRule="auto"/>
        <w:jc w:val="both"/>
      </w:pPr>
      <w:r w:rsidRPr="00804D06">
        <w:t>New records and data on hypogeous ectomycorrhizal fungi in Bulgaria</w:t>
      </w:r>
    </w:p>
    <w:p w:rsidR="002C299A" w:rsidRPr="00804D06" w:rsidRDefault="002C299A" w:rsidP="00D23BD9">
      <w:pPr>
        <w:pStyle w:val="NormalWeb"/>
        <w:spacing w:before="0" w:beforeAutospacing="0" w:after="0" w:afterAutospacing="0" w:line="276" w:lineRule="auto"/>
        <w:jc w:val="both"/>
      </w:pPr>
    </w:p>
    <w:p w:rsidR="002C299A" w:rsidRPr="00804D06" w:rsidRDefault="002C299A" w:rsidP="00D23BD9">
      <w:pPr>
        <w:pStyle w:val="NormalWeb"/>
        <w:spacing w:before="0" w:beforeAutospacing="0" w:after="0" w:afterAutospacing="0" w:line="276" w:lineRule="auto"/>
        <w:jc w:val="both"/>
      </w:pPr>
      <w:r w:rsidRPr="00804D06">
        <w:t>Abstract</w:t>
      </w:r>
    </w:p>
    <w:p w:rsidR="002C299A" w:rsidRPr="00804D06" w:rsidRDefault="002C299A" w:rsidP="00D23BD9">
      <w:pPr>
        <w:pStyle w:val="NormalWeb"/>
        <w:spacing w:before="0" w:beforeAutospacing="0" w:after="0" w:afterAutospacing="0" w:line="276" w:lineRule="auto"/>
        <w:jc w:val="both"/>
      </w:pPr>
      <w:r w:rsidRPr="00804D06">
        <w:t xml:space="preserve">In this article, new data on species diversity of hypogeous macrofungi in Bulgaria are reported. Three species: </w:t>
      </w:r>
      <w:r w:rsidRPr="00730DCD">
        <w:rPr>
          <w:i/>
        </w:rPr>
        <w:t>Tuber rufum</w:t>
      </w:r>
      <w:r w:rsidRPr="00804D06">
        <w:t xml:space="preserve">, </w:t>
      </w:r>
      <w:r w:rsidRPr="00730DCD">
        <w:rPr>
          <w:i/>
        </w:rPr>
        <w:t>Gautieria graveolens</w:t>
      </w:r>
      <w:r w:rsidRPr="00804D06">
        <w:t xml:space="preserve"> and </w:t>
      </w:r>
      <w:r w:rsidRPr="00730DCD">
        <w:rPr>
          <w:i/>
        </w:rPr>
        <w:t>Lactarius stephensii</w:t>
      </w:r>
      <w:r w:rsidRPr="00804D06">
        <w:t xml:space="preserve"> were recorded for first time in the country. New localities of noteworthy fungi </w:t>
      </w:r>
      <w:r w:rsidRPr="00730DCD">
        <w:rPr>
          <w:i/>
        </w:rPr>
        <w:t>Tuber excavatum</w:t>
      </w:r>
      <w:r w:rsidRPr="00804D06">
        <w:t xml:space="preserve"> and </w:t>
      </w:r>
      <w:r w:rsidRPr="00730DCD">
        <w:rPr>
          <w:i/>
        </w:rPr>
        <w:t>Gautieria morchelliformis</w:t>
      </w:r>
      <w:r w:rsidRPr="00804D06">
        <w:t xml:space="preserve"> are also reported. A DNA sequencing for most studied hypogeous fungi and detailed phylogenetic analysis for </w:t>
      </w:r>
      <w:r w:rsidRPr="00730DCD">
        <w:rPr>
          <w:i/>
        </w:rPr>
        <w:t>T. excavatum</w:t>
      </w:r>
      <w:r w:rsidRPr="00804D06">
        <w:t xml:space="preserve"> were performed. Results confirmed that representatives of </w:t>
      </w:r>
      <w:r w:rsidRPr="00730DCD">
        <w:rPr>
          <w:i/>
        </w:rPr>
        <w:t>T. excavatum</w:t>
      </w:r>
      <w:r w:rsidRPr="00804D06">
        <w:t xml:space="preserve"> group have a very high intraspecific genetic variability.</w:t>
      </w:r>
    </w:p>
    <w:p w:rsidR="002C299A" w:rsidRPr="00804D06" w:rsidRDefault="002C299A" w:rsidP="00D23BD9">
      <w:pPr>
        <w:pStyle w:val="NormalWeb"/>
        <w:spacing w:before="0" w:beforeAutospacing="0" w:after="0" w:afterAutospacing="0" w:line="276" w:lineRule="auto"/>
        <w:jc w:val="both"/>
      </w:pPr>
    </w:p>
    <w:p w:rsidR="002C299A" w:rsidRPr="00804D06" w:rsidRDefault="002C299A" w:rsidP="00D23BD9">
      <w:pPr>
        <w:pStyle w:val="NormalWeb"/>
        <w:spacing w:before="0" w:beforeAutospacing="0" w:after="0" w:afterAutospacing="0" w:line="276" w:lineRule="auto"/>
        <w:jc w:val="both"/>
        <w:rPr>
          <w:lang w:val="bg-BG"/>
        </w:rPr>
      </w:pPr>
      <w:r w:rsidRPr="00804D06">
        <w:rPr>
          <w:lang w:val="bg-BG"/>
        </w:rPr>
        <w:t>Нови находища и данни за подземни ектомикоризни гъби в България</w:t>
      </w:r>
    </w:p>
    <w:p w:rsidR="002C299A" w:rsidRPr="00804D06" w:rsidRDefault="002C299A" w:rsidP="00D23BD9">
      <w:pPr>
        <w:pStyle w:val="NormalWeb"/>
        <w:spacing w:before="0" w:beforeAutospacing="0" w:after="0" w:afterAutospacing="0" w:line="276" w:lineRule="auto"/>
        <w:jc w:val="both"/>
        <w:rPr>
          <w:lang w:val="bg-BG"/>
        </w:rPr>
      </w:pPr>
    </w:p>
    <w:p w:rsidR="002C299A" w:rsidRPr="00804D06" w:rsidRDefault="002C299A" w:rsidP="00D23BD9">
      <w:pPr>
        <w:pStyle w:val="NormalWeb"/>
        <w:spacing w:before="0" w:beforeAutospacing="0" w:after="0" w:afterAutospacing="0" w:line="276" w:lineRule="auto"/>
        <w:jc w:val="both"/>
        <w:rPr>
          <w:lang w:val="bg-BG"/>
        </w:rPr>
      </w:pPr>
      <w:r w:rsidRPr="00804D06">
        <w:rPr>
          <w:lang w:val="bg-BG"/>
        </w:rPr>
        <w:t>Резюме</w:t>
      </w:r>
    </w:p>
    <w:p w:rsidR="002C299A" w:rsidRPr="00804D06" w:rsidRDefault="002C299A" w:rsidP="00D23BD9">
      <w:pPr>
        <w:pStyle w:val="NormalWeb"/>
        <w:spacing w:before="0" w:beforeAutospacing="0" w:after="0" w:afterAutospacing="0" w:line="276" w:lineRule="auto"/>
        <w:jc w:val="both"/>
        <w:rPr>
          <w:lang w:val="bg-BG"/>
        </w:rPr>
      </w:pPr>
      <w:r w:rsidRPr="00804D06">
        <w:rPr>
          <w:lang w:val="bg-BG"/>
        </w:rPr>
        <w:t xml:space="preserve">В тази статия са представени нови данни за видовото разнообразие на подземни макрогъби в България. Три вида: </w:t>
      </w:r>
      <w:r w:rsidRPr="00730DCD">
        <w:rPr>
          <w:i/>
          <w:lang w:val="bg-BG"/>
        </w:rPr>
        <w:t>Tuber rufum</w:t>
      </w:r>
      <w:r w:rsidRPr="00804D06">
        <w:rPr>
          <w:lang w:val="bg-BG"/>
        </w:rPr>
        <w:t xml:space="preserve">, </w:t>
      </w:r>
      <w:r w:rsidRPr="00730DCD">
        <w:rPr>
          <w:i/>
          <w:lang w:val="bg-BG"/>
        </w:rPr>
        <w:t>Gautieria graveolens</w:t>
      </w:r>
      <w:r w:rsidRPr="00804D06">
        <w:rPr>
          <w:lang w:val="bg-BG"/>
        </w:rPr>
        <w:t xml:space="preserve"> и </w:t>
      </w:r>
      <w:r w:rsidRPr="00730DCD">
        <w:rPr>
          <w:i/>
          <w:lang w:val="bg-BG"/>
        </w:rPr>
        <w:t>Lactarius stephensii</w:t>
      </w:r>
      <w:r w:rsidRPr="00804D06">
        <w:rPr>
          <w:lang w:val="bg-BG"/>
        </w:rPr>
        <w:t xml:space="preserve"> са регистрирани за пръв път в страната. Представени са и нови находища на важния вид </w:t>
      </w:r>
      <w:r w:rsidRPr="00730DCD">
        <w:rPr>
          <w:i/>
          <w:lang w:val="bg-BG"/>
        </w:rPr>
        <w:t>Tuber excavatum</w:t>
      </w:r>
      <w:r w:rsidRPr="00804D06">
        <w:rPr>
          <w:lang w:val="bg-BG"/>
        </w:rPr>
        <w:t xml:space="preserve"> и </w:t>
      </w:r>
      <w:r w:rsidRPr="00730DCD">
        <w:rPr>
          <w:i/>
          <w:lang w:val="bg-BG"/>
        </w:rPr>
        <w:t>Gautieria morchelliformis</w:t>
      </w:r>
      <w:r w:rsidRPr="00804D06">
        <w:rPr>
          <w:lang w:val="bg-BG"/>
        </w:rPr>
        <w:t xml:space="preserve">. Направено е ДНК секвениране за повечето от изследваните подземни гъби, както и подробен филогенетичен анализ за </w:t>
      </w:r>
      <w:r w:rsidRPr="00730DCD">
        <w:rPr>
          <w:i/>
          <w:lang w:val="bg-BG"/>
        </w:rPr>
        <w:t>T. excavatum</w:t>
      </w:r>
      <w:r w:rsidRPr="00804D06">
        <w:rPr>
          <w:lang w:val="bg-BG"/>
        </w:rPr>
        <w:t>. Резултатите потвърждават, че представителите на групата T. excavatum имат много висока вътревидова генетична вариабилност.</w:t>
      </w:r>
    </w:p>
    <w:p w:rsidR="002C299A" w:rsidRDefault="002C299A" w:rsidP="00D23BD9">
      <w:pPr>
        <w:jc w:val="both"/>
        <w:rPr>
          <w:lang w:val="bg-BG"/>
        </w:rPr>
      </w:pPr>
    </w:p>
    <w:p w:rsidR="002C299A" w:rsidRPr="00804D06" w:rsidRDefault="002C299A" w:rsidP="00D23BD9">
      <w:pPr>
        <w:pStyle w:val="NormalWeb"/>
        <w:numPr>
          <w:ilvl w:val="0"/>
          <w:numId w:val="1"/>
        </w:numPr>
        <w:spacing w:before="0" w:beforeAutospacing="0" w:after="0" w:afterAutospacing="0" w:line="276" w:lineRule="auto"/>
        <w:jc w:val="both"/>
      </w:pPr>
      <w:r w:rsidRPr="00804D06">
        <w:lastRenderedPageBreak/>
        <w:t xml:space="preserve">Christova, P., </w:t>
      </w:r>
      <w:r w:rsidRPr="00AE495C">
        <w:rPr>
          <w:b/>
        </w:rPr>
        <w:t>Kostov, K.</w:t>
      </w:r>
      <w:r w:rsidRPr="00804D06">
        <w:t xml:space="preserve">, Lyubenova, A., Slavov, S. (2019) Occurrence and diversity of </w:t>
      </w:r>
      <w:r w:rsidRPr="00804D06">
        <w:rPr>
          <w:i/>
        </w:rPr>
        <w:t>Phytophthora species</w:t>
      </w:r>
      <w:r w:rsidRPr="00804D06">
        <w:t xml:space="preserve"> in mountain area of Vit River. Journal of Mountain Agriculture on the Balkans 22(1), 259–269. </w:t>
      </w:r>
      <w:r w:rsidRPr="002D537F">
        <w:rPr>
          <w:b/>
        </w:rPr>
        <w:t>(</w:t>
      </w:r>
      <w:r w:rsidR="002008A5">
        <w:rPr>
          <w:b/>
        </w:rPr>
        <w:t>Г7.</w:t>
      </w:r>
      <w:r w:rsidRPr="002D537F">
        <w:rPr>
          <w:b/>
        </w:rPr>
        <w:t>10)</w:t>
      </w:r>
    </w:p>
    <w:p w:rsidR="002C299A" w:rsidRPr="00804D06" w:rsidRDefault="002C299A" w:rsidP="00D23BD9">
      <w:pPr>
        <w:pStyle w:val="NormalWeb"/>
        <w:spacing w:before="0" w:beforeAutospacing="0" w:after="0" w:afterAutospacing="0" w:line="276" w:lineRule="auto"/>
        <w:jc w:val="both"/>
      </w:pPr>
    </w:p>
    <w:p w:rsidR="002C299A" w:rsidRPr="00804D06" w:rsidRDefault="002C299A" w:rsidP="00D23BD9">
      <w:pPr>
        <w:pStyle w:val="NormalWeb"/>
        <w:spacing w:before="0" w:beforeAutospacing="0" w:after="0" w:afterAutospacing="0" w:line="276" w:lineRule="auto"/>
        <w:jc w:val="both"/>
      </w:pPr>
      <w:r w:rsidRPr="00804D06">
        <w:t>Occurrence and Diversity of Phytophthora Species in Mountain Area of Vit River</w:t>
      </w:r>
    </w:p>
    <w:p w:rsidR="002C299A" w:rsidRPr="00804D06" w:rsidRDefault="002C299A" w:rsidP="00D23BD9">
      <w:pPr>
        <w:pStyle w:val="NormalWeb"/>
        <w:spacing w:before="0" w:beforeAutospacing="0" w:after="0" w:afterAutospacing="0" w:line="276" w:lineRule="auto"/>
        <w:jc w:val="both"/>
      </w:pPr>
    </w:p>
    <w:p w:rsidR="002C299A" w:rsidRPr="00804D06" w:rsidRDefault="002C299A" w:rsidP="00D23BD9">
      <w:pPr>
        <w:pStyle w:val="NormalWeb"/>
        <w:spacing w:before="0" w:beforeAutospacing="0" w:after="0" w:afterAutospacing="0" w:line="276" w:lineRule="auto"/>
        <w:jc w:val="both"/>
      </w:pPr>
      <w:r w:rsidRPr="00804D06">
        <w:t>Summary</w:t>
      </w:r>
    </w:p>
    <w:p w:rsidR="002C299A" w:rsidRPr="00804D06" w:rsidRDefault="002C299A" w:rsidP="00D23BD9">
      <w:pPr>
        <w:pStyle w:val="NormalWeb"/>
        <w:spacing w:before="0" w:beforeAutospacing="0" w:after="0" w:afterAutospacing="0" w:line="276" w:lineRule="auto"/>
        <w:jc w:val="both"/>
      </w:pPr>
      <w:r w:rsidRPr="00804D06">
        <w:t xml:space="preserve">The aim of this study is isolation and identification of </w:t>
      </w:r>
      <w:r w:rsidRPr="00804D06">
        <w:rPr>
          <w:i/>
        </w:rPr>
        <w:t>Phytophthora species</w:t>
      </w:r>
      <w:r w:rsidRPr="00804D06">
        <w:t xml:space="preserve"> in the mountain area of Vit River. Fifteen </w:t>
      </w:r>
      <w:r w:rsidRPr="00804D06">
        <w:rPr>
          <w:i/>
        </w:rPr>
        <w:t>Phytophthora isolates</w:t>
      </w:r>
      <w:r w:rsidRPr="00804D06">
        <w:t xml:space="preserve"> were recovered from six different locations in the river (Beli Vit River, Cherni Vit River and shortly after their interflow in the region of Teteven town) using a baiting method. The phylogenetic analysis of ITS sequences of collected isolates determined occurrence of four </w:t>
      </w:r>
      <w:r w:rsidRPr="00804D06">
        <w:rPr>
          <w:i/>
        </w:rPr>
        <w:t>Phytophthora species</w:t>
      </w:r>
      <w:r w:rsidRPr="00804D06">
        <w:t xml:space="preserve"> – </w:t>
      </w:r>
      <w:r w:rsidRPr="00804D06">
        <w:rPr>
          <w:i/>
        </w:rPr>
        <w:t>P. gonapodyides</w:t>
      </w:r>
      <w:r w:rsidRPr="00804D06">
        <w:t xml:space="preserve">, </w:t>
      </w:r>
      <w:r w:rsidRPr="00804D06">
        <w:rPr>
          <w:i/>
        </w:rPr>
        <w:t>P. lacustris</w:t>
      </w:r>
      <w:r w:rsidRPr="00804D06">
        <w:t xml:space="preserve">, </w:t>
      </w:r>
      <w:r w:rsidRPr="00804D06">
        <w:rPr>
          <w:i/>
        </w:rPr>
        <w:t>P. chlamydospora</w:t>
      </w:r>
      <w:r w:rsidRPr="00804D06">
        <w:t xml:space="preserve"> and </w:t>
      </w:r>
      <w:r w:rsidRPr="00804D06">
        <w:rPr>
          <w:i/>
        </w:rPr>
        <w:t>P. syringae</w:t>
      </w:r>
      <w:r w:rsidRPr="00804D06">
        <w:t>. Three of these species (</w:t>
      </w:r>
      <w:r w:rsidRPr="00804D06">
        <w:rPr>
          <w:i/>
        </w:rPr>
        <w:t>P. lacustris</w:t>
      </w:r>
      <w:r w:rsidRPr="00804D06">
        <w:t xml:space="preserve">, </w:t>
      </w:r>
      <w:r w:rsidRPr="00804D06">
        <w:rPr>
          <w:i/>
        </w:rPr>
        <w:t>P. gonapodyides</w:t>
      </w:r>
      <w:r w:rsidRPr="00804D06">
        <w:t xml:space="preserve"> and </w:t>
      </w:r>
      <w:r w:rsidRPr="00804D06">
        <w:rPr>
          <w:i/>
        </w:rPr>
        <w:t>P. chlamydospora</w:t>
      </w:r>
      <w:r w:rsidRPr="00804D06">
        <w:t xml:space="preserve">) belong to clade 6 of the genus </w:t>
      </w:r>
      <w:r w:rsidRPr="00AE495C">
        <w:rPr>
          <w:i/>
        </w:rPr>
        <w:t>Phytophthora</w:t>
      </w:r>
      <w:r w:rsidRPr="00804D06">
        <w:t xml:space="preserve">, whereas </w:t>
      </w:r>
      <w:r w:rsidRPr="00804D06">
        <w:rPr>
          <w:i/>
        </w:rPr>
        <w:t>P. syringae</w:t>
      </w:r>
      <w:r w:rsidRPr="00804D06">
        <w:t xml:space="preserve"> is а member of clade 8. </w:t>
      </w:r>
      <w:r w:rsidRPr="00804D06">
        <w:rPr>
          <w:i/>
        </w:rPr>
        <w:t>P. gonapodyides</w:t>
      </w:r>
      <w:r w:rsidRPr="00804D06">
        <w:t xml:space="preserve"> and </w:t>
      </w:r>
      <w:r w:rsidRPr="00804D06">
        <w:rPr>
          <w:i/>
        </w:rPr>
        <w:t>P. syringae</w:t>
      </w:r>
      <w:r w:rsidRPr="00804D06">
        <w:t xml:space="preserve"> were defined as the most common </w:t>
      </w:r>
      <w:r w:rsidRPr="00804D06">
        <w:rPr>
          <w:i/>
        </w:rPr>
        <w:t>Phytophthora species</w:t>
      </w:r>
      <w:r w:rsidRPr="00804D06">
        <w:t xml:space="preserve"> in the investigated mountain region of Vit River and represent respectively 40% and 33% of the collected isolates. The pathogenicity of selected isolates from each of collected </w:t>
      </w:r>
      <w:r w:rsidRPr="00804D06">
        <w:rPr>
          <w:i/>
        </w:rPr>
        <w:t>Phytophthora species</w:t>
      </w:r>
      <w:r w:rsidRPr="00804D06">
        <w:t xml:space="preserve"> to blackcurrant and chokeberry was evaluated and the ability of </w:t>
      </w:r>
      <w:r w:rsidRPr="00804D06">
        <w:rPr>
          <w:i/>
        </w:rPr>
        <w:t>P. lacustris</w:t>
      </w:r>
      <w:r w:rsidRPr="00804D06">
        <w:t xml:space="preserve">, </w:t>
      </w:r>
      <w:r w:rsidRPr="00804D06">
        <w:rPr>
          <w:i/>
        </w:rPr>
        <w:t>P. chlamydospora</w:t>
      </w:r>
      <w:r w:rsidRPr="00804D06">
        <w:t xml:space="preserve"> and </w:t>
      </w:r>
      <w:r w:rsidRPr="00804D06">
        <w:rPr>
          <w:i/>
        </w:rPr>
        <w:t>P. gonapodyides</w:t>
      </w:r>
      <w:r w:rsidRPr="00804D06">
        <w:t xml:space="preserve"> to infect leaves of both plant species was proved. </w:t>
      </w:r>
    </w:p>
    <w:p w:rsidR="002C299A" w:rsidRPr="00804D06" w:rsidRDefault="002C299A" w:rsidP="00D23BD9">
      <w:pPr>
        <w:pStyle w:val="NormalWeb"/>
        <w:spacing w:before="0" w:beforeAutospacing="0" w:after="0" w:afterAutospacing="0" w:line="276" w:lineRule="auto"/>
        <w:jc w:val="both"/>
      </w:pPr>
    </w:p>
    <w:p w:rsidR="002C299A" w:rsidRPr="00804D06" w:rsidRDefault="002C299A" w:rsidP="00D23BD9">
      <w:pPr>
        <w:pStyle w:val="NormalWeb"/>
        <w:spacing w:before="0" w:beforeAutospacing="0" w:after="0" w:afterAutospacing="0" w:line="276" w:lineRule="auto"/>
        <w:jc w:val="both"/>
        <w:rPr>
          <w:lang w:val="bg-BG"/>
        </w:rPr>
      </w:pPr>
      <w:r w:rsidRPr="00804D06">
        <w:rPr>
          <w:lang w:val="bg-BG"/>
        </w:rPr>
        <w:t>Разпространение и разнообразие на видове Phytophthora в планинския район на река Вит</w:t>
      </w:r>
    </w:p>
    <w:p w:rsidR="002C299A" w:rsidRPr="00804D06" w:rsidRDefault="002C299A" w:rsidP="00D23BD9">
      <w:pPr>
        <w:pStyle w:val="NormalWeb"/>
        <w:spacing w:before="0" w:beforeAutospacing="0" w:after="0" w:afterAutospacing="0" w:line="276" w:lineRule="auto"/>
        <w:jc w:val="both"/>
        <w:rPr>
          <w:lang w:val="bg-BG"/>
        </w:rPr>
      </w:pPr>
    </w:p>
    <w:p w:rsidR="002C299A" w:rsidRPr="00804D06" w:rsidRDefault="002C299A" w:rsidP="00D23BD9">
      <w:pPr>
        <w:pStyle w:val="NormalWeb"/>
        <w:spacing w:before="0" w:beforeAutospacing="0" w:after="0" w:afterAutospacing="0" w:line="276" w:lineRule="auto"/>
        <w:jc w:val="both"/>
        <w:rPr>
          <w:lang w:val="bg-BG"/>
        </w:rPr>
      </w:pPr>
      <w:r w:rsidRPr="00804D06">
        <w:rPr>
          <w:lang w:val="bg-BG"/>
        </w:rPr>
        <w:t xml:space="preserve">Резюме </w:t>
      </w:r>
    </w:p>
    <w:p w:rsidR="002C299A" w:rsidRPr="00804D06" w:rsidRDefault="002C299A" w:rsidP="00D23BD9">
      <w:pPr>
        <w:pStyle w:val="NormalWeb"/>
        <w:spacing w:before="0" w:beforeAutospacing="0" w:after="0" w:afterAutospacing="0" w:line="276" w:lineRule="auto"/>
        <w:jc w:val="both"/>
        <w:rPr>
          <w:lang w:val="bg-BG"/>
        </w:rPr>
      </w:pPr>
      <w:r w:rsidRPr="00804D06">
        <w:rPr>
          <w:lang w:val="bg-BG"/>
        </w:rPr>
        <w:t xml:space="preserve">Целта на това изследване е изолиране и идентифициране на видове от род </w:t>
      </w:r>
      <w:r w:rsidRPr="00804D06">
        <w:t>Phytophthora</w:t>
      </w:r>
      <w:r w:rsidRPr="00804D06">
        <w:rPr>
          <w:lang w:val="bg-BG"/>
        </w:rPr>
        <w:t xml:space="preserve"> в планинската част на р. Вит. Получени са 15 изолата принадлежащи към </w:t>
      </w:r>
      <w:r w:rsidRPr="00804D06">
        <w:t>Phytophthor</w:t>
      </w:r>
      <w:r w:rsidRPr="00804D06">
        <w:rPr>
          <w:lang w:val="bg-BG"/>
        </w:rPr>
        <w:t xml:space="preserve">а </w:t>
      </w:r>
      <w:r w:rsidRPr="00804D06">
        <w:t>spp</w:t>
      </w:r>
      <w:r w:rsidRPr="00804D06">
        <w:rPr>
          <w:lang w:val="bg-BG"/>
        </w:rPr>
        <w:t xml:space="preserve">. от шест различни локации на реката (р. Бели Вит, р. Черни Вит и малко след сливането им в района на гр. Тетевен) по метода на уловките. Филогенетичният анализ на </w:t>
      </w:r>
      <w:r w:rsidRPr="00804D06">
        <w:t>ITS</w:t>
      </w:r>
      <w:r w:rsidRPr="00804D06">
        <w:rPr>
          <w:lang w:val="bg-BG"/>
        </w:rPr>
        <w:t xml:space="preserve"> секвенциите на събраните изолати показва наличието на четири вида </w:t>
      </w:r>
      <w:r w:rsidRPr="00804D06">
        <w:t>Phytophthora</w:t>
      </w:r>
      <w:r w:rsidRPr="00804D06">
        <w:rPr>
          <w:lang w:val="bg-BG"/>
        </w:rPr>
        <w:t xml:space="preserve"> – </w:t>
      </w:r>
      <w:r w:rsidRPr="00804D06">
        <w:rPr>
          <w:i/>
        </w:rPr>
        <w:t>P</w:t>
      </w:r>
      <w:r w:rsidRPr="00804D06">
        <w:rPr>
          <w:i/>
          <w:lang w:val="bg-BG"/>
        </w:rPr>
        <w:t xml:space="preserve">. </w:t>
      </w:r>
      <w:r w:rsidRPr="00804D06">
        <w:rPr>
          <w:i/>
        </w:rPr>
        <w:t>gonapodyides</w:t>
      </w:r>
      <w:r w:rsidRPr="00804D06">
        <w:rPr>
          <w:lang w:val="bg-BG"/>
        </w:rPr>
        <w:t xml:space="preserve">, </w:t>
      </w:r>
      <w:r w:rsidRPr="00804D06">
        <w:rPr>
          <w:i/>
        </w:rPr>
        <w:t>P</w:t>
      </w:r>
      <w:r w:rsidRPr="00804D06">
        <w:rPr>
          <w:i/>
          <w:lang w:val="bg-BG"/>
        </w:rPr>
        <w:t xml:space="preserve">. </w:t>
      </w:r>
      <w:r w:rsidRPr="00804D06">
        <w:rPr>
          <w:i/>
        </w:rPr>
        <w:t>lacustris</w:t>
      </w:r>
      <w:r w:rsidRPr="00804D06">
        <w:rPr>
          <w:lang w:val="bg-BG"/>
        </w:rPr>
        <w:t xml:space="preserve">, </w:t>
      </w:r>
      <w:r w:rsidRPr="00804D06">
        <w:rPr>
          <w:i/>
        </w:rPr>
        <w:t>P</w:t>
      </w:r>
      <w:r w:rsidRPr="00804D06">
        <w:rPr>
          <w:i/>
          <w:lang w:val="bg-BG"/>
        </w:rPr>
        <w:t xml:space="preserve">. </w:t>
      </w:r>
      <w:r w:rsidRPr="00804D06">
        <w:rPr>
          <w:i/>
        </w:rPr>
        <w:t>chlamydospora</w:t>
      </w:r>
      <w:r w:rsidRPr="00804D06">
        <w:rPr>
          <w:lang w:val="bg-BG"/>
        </w:rPr>
        <w:t xml:space="preserve"> и </w:t>
      </w:r>
      <w:r w:rsidRPr="00804D06">
        <w:rPr>
          <w:i/>
        </w:rPr>
        <w:t>P</w:t>
      </w:r>
      <w:r w:rsidRPr="00804D06">
        <w:rPr>
          <w:i/>
          <w:lang w:val="bg-BG"/>
        </w:rPr>
        <w:t xml:space="preserve">. </w:t>
      </w:r>
      <w:r w:rsidRPr="00804D06">
        <w:rPr>
          <w:i/>
        </w:rPr>
        <w:t>syringae</w:t>
      </w:r>
      <w:r w:rsidRPr="00804D06">
        <w:rPr>
          <w:lang w:val="bg-BG"/>
        </w:rPr>
        <w:t>. Три от тези видове (</w:t>
      </w:r>
      <w:r w:rsidRPr="00804D06">
        <w:rPr>
          <w:i/>
        </w:rPr>
        <w:t>P</w:t>
      </w:r>
      <w:r w:rsidRPr="00804D06">
        <w:rPr>
          <w:i/>
          <w:lang w:val="bg-BG"/>
        </w:rPr>
        <w:t xml:space="preserve">. </w:t>
      </w:r>
      <w:r w:rsidRPr="00804D06">
        <w:rPr>
          <w:i/>
        </w:rPr>
        <w:t>lacustris</w:t>
      </w:r>
      <w:r w:rsidRPr="00804D06">
        <w:rPr>
          <w:lang w:val="bg-BG"/>
        </w:rPr>
        <w:t xml:space="preserve">, </w:t>
      </w:r>
      <w:r w:rsidRPr="00804D06">
        <w:rPr>
          <w:i/>
        </w:rPr>
        <w:t>P</w:t>
      </w:r>
      <w:r w:rsidRPr="00804D06">
        <w:rPr>
          <w:i/>
          <w:lang w:val="bg-BG"/>
        </w:rPr>
        <w:t xml:space="preserve">. </w:t>
      </w:r>
      <w:r w:rsidRPr="00804D06">
        <w:rPr>
          <w:i/>
        </w:rPr>
        <w:t>gonapodyides</w:t>
      </w:r>
      <w:r w:rsidRPr="00804D06">
        <w:rPr>
          <w:lang w:val="bg-BG"/>
        </w:rPr>
        <w:t xml:space="preserve"> и </w:t>
      </w:r>
      <w:r w:rsidRPr="00804D06">
        <w:rPr>
          <w:i/>
        </w:rPr>
        <w:t>P</w:t>
      </w:r>
      <w:r w:rsidRPr="00804D06">
        <w:rPr>
          <w:i/>
          <w:lang w:val="bg-BG"/>
        </w:rPr>
        <w:t xml:space="preserve">. </w:t>
      </w:r>
      <w:r w:rsidRPr="00804D06">
        <w:rPr>
          <w:i/>
        </w:rPr>
        <w:t>chlamydospora</w:t>
      </w:r>
      <w:r w:rsidRPr="00804D06">
        <w:rPr>
          <w:lang w:val="bg-BG"/>
        </w:rPr>
        <w:t xml:space="preserve">) принадлежат към клад 6 на род </w:t>
      </w:r>
      <w:r w:rsidRPr="00804D06">
        <w:t>Phytophthora</w:t>
      </w:r>
      <w:r w:rsidRPr="00804D06">
        <w:rPr>
          <w:lang w:val="bg-BG"/>
        </w:rPr>
        <w:t xml:space="preserve">, докато </w:t>
      </w:r>
      <w:r w:rsidRPr="00804D06">
        <w:rPr>
          <w:i/>
        </w:rPr>
        <w:t>P</w:t>
      </w:r>
      <w:r w:rsidRPr="00804D06">
        <w:rPr>
          <w:i/>
          <w:lang w:val="bg-BG"/>
        </w:rPr>
        <w:t xml:space="preserve">. </w:t>
      </w:r>
      <w:r w:rsidRPr="00804D06">
        <w:rPr>
          <w:i/>
        </w:rPr>
        <w:t>syringae</w:t>
      </w:r>
      <w:r w:rsidRPr="00804D06">
        <w:rPr>
          <w:lang w:val="bg-BG"/>
        </w:rPr>
        <w:t xml:space="preserve"> е представител на клад 8. </w:t>
      </w:r>
      <w:r w:rsidRPr="00804D06">
        <w:rPr>
          <w:i/>
        </w:rPr>
        <w:t>P</w:t>
      </w:r>
      <w:r w:rsidRPr="00804D06">
        <w:rPr>
          <w:i/>
          <w:lang w:val="bg-BG"/>
        </w:rPr>
        <w:t xml:space="preserve">. </w:t>
      </w:r>
      <w:r w:rsidRPr="00804D06">
        <w:rPr>
          <w:i/>
        </w:rPr>
        <w:t>gonapodyides</w:t>
      </w:r>
      <w:r w:rsidRPr="00804D06">
        <w:rPr>
          <w:lang w:val="bg-BG"/>
        </w:rPr>
        <w:t xml:space="preserve"> и </w:t>
      </w:r>
      <w:r w:rsidRPr="00804D06">
        <w:rPr>
          <w:i/>
        </w:rPr>
        <w:t>P</w:t>
      </w:r>
      <w:r w:rsidRPr="00804D06">
        <w:rPr>
          <w:i/>
          <w:lang w:val="bg-BG"/>
        </w:rPr>
        <w:t xml:space="preserve">. </w:t>
      </w:r>
      <w:r w:rsidRPr="00804D06">
        <w:rPr>
          <w:i/>
        </w:rPr>
        <w:t>syringae</w:t>
      </w:r>
      <w:r w:rsidRPr="00804D06">
        <w:rPr>
          <w:lang w:val="bg-BG"/>
        </w:rPr>
        <w:t xml:space="preserve"> са определени като най-често срещани видове </w:t>
      </w:r>
      <w:r w:rsidRPr="00804D06">
        <w:t>Phytophthora</w:t>
      </w:r>
      <w:r w:rsidRPr="00804D06">
        <w:rPr>
          <w:lang w:val="bg-BG"/>
        </w:rPr>
        <w:t xml:space="preserve"> в изследвания планински район на река Вит и представляват съответно 40% и 33% от събраните изолати. Анализирана е патогенността на избрани изолати от четирите вида </w:t>
      </w:r>
      <w:r w:rsidRPr="00804D06">
        <w:t>Phytophthora</w:t>
      </w:r>
      <w:r w:rsidRPr="00804D06">
        <w:rPr>
          <w:lang w:val="bg-BG"/>
        </w:rPr>
        <w:t xml:space="preserve"> към касис и арония и е доказана способността на </w:t>
      </w:r>
      <w:r w:rsidRPr="00804D06">
        <w:rPr>
          <w:i/>
        </w:rPr>
        <w:t>P</w:t>
      </w:r>
      <w:r w:rsidRPr="00804D06">
        <w:rPr>
          <w:i/>
          <w:lang w:val="bg-BG"/>
        </w:rPr>
        <w:t xml:space="preserve">. </w:t>
      </w:r>
      <w:r w:rsidRPr="00804D06">
        <w:rPr>
          <w:i/>
        </w:rPr>
        <w:t>lacustris</w:t>
      </w:r>
      <w:r w:rsidRPr="00804D06">
        <w:rPr>
          <w:lang w:val="bg-BG"/>
        </w:rPr>
        <w:t xml:space="preserve">, </w:t>
      </w:r>
      <w:r w:rsidRPr="00804D06">
        <w:rPr>
          <w:i/>
        </w:rPr>
        <w:t>P</w:t>
      </w:r>
      <w:r w:rsidRPr="00804D06">
        <w:rPr>
          <w:i/>
          <w:lang w:val="bg-BG"/>
        </w:rPr>
        <w:t xml:space="preserve">. </w:t>
      </w:r>
      <w:r w:rsidRPr="00804D06">
        <w:rPr>
          <w:i/>
        </w:rPr>
        <w:t>chlamydospora</w:t>
      </w:r>
      <w:r w:rsidRPr="00804D06">
        <w:rPr>
          <w:lang w:val="bg-BG"/>
        </w:rPr>
        <w:t xml:space="preserve"> и </w:t>
      </w:r>
      <w:r w:rsidRPr="00804D06">
        <w:rPr>
          <w:i/>
        </w:rPr>
        <w:t>P</w:t>
      </w:r>
      <w:r w:rsidRPr="00804D06">
        <w:rPr>
          <w:i/>
          <w:lang w:val="bg-BG"/>
        </w:rPr>
        <w:t xml:space="preserve">. </w:t>
      </w:r>
      <w:r w:rsidRPr="00804D06">
        <w:rPr>
          <w:i/>
        </w:rPr>
        <w:t>gonapodyides</w:t>
      </w:r>
      <w:r w:rsidRPr="00804D06">
        <w:rPr>
          <w:lang w:val="bg-BG"/>
        </w:rPr>
        <w:t xml:space="preserve"> да заразяват листа от двата растителни вида.</w:t>
      </w:r>
    </w:p>
    <w:p w:rsidR="002C299A" w:rsidRDefault="002C299A" w:rsidP="00D23BD9">
      <w:pPr>
        <w:jc w:val="both"/>
        <w:rPr>
          <w:lang w:val="bg-BG"/>
        </w:rPr>
      </w:pPr>
    </w:p>
    <w:p w:rsidR="002C1D5F" w:rsidRPr="00804D06" w:rsidRDefault="002C1D5F" w:rsidP="00D23BD9">
      <w:pPr>
        <w:pStyle w:val="NormalWeb"/>
        <w:numPr>
          <w:ilvl w:val="0"/>
          <w:numId w:val="1"/>
        </w:numPr>
        <w:spacing w:before="0" w:beforeAutospacing="0" w:after="0" w:afterAutospacing="0" w:line="276" w:lineRule="auto"/>
        <w:jc w:val="both"/>
      </w:pPr>
      <w:r w:rsidRPr="00804D06">
        <w:t xml:space="preserve">Slavov, S., Christova, P., </w:t>
      </w:r>
      <w:r w:rsidRPr="00AE495C">
        <w:rPr>
          <w:b/>
        </w:rPr>
        <w:t>Kostov, K.</w:t>
      </w:r>
      <w:r w:rsidRPr="00804D06">
        <w:t xml:space="preserve">, Lyubenova, A. (2019) </w:t>
      </w:r>
      <w:r w:rsidRPr="00804D06">
        <w:rPr>
          <w:i/>
        </w:rPr>
        <w:t>Phytophthora species</w:t>
      </w:r>
      <w:r w:rsidRPr="00804D06">
        <w:t xml:space="preserve"> inhabiting middle and lower watercourse of Tundzha River in Bulgaria. Journal of Mountain Agriculture on the Balkans 22(1), 270–281. </w:t>
      </w:r>
      <w:r w:rsidRPr="002D537F">
        <w:rPr>
          <w:b/>
        </w:rPr>
        <w:t>(</w:t>
      </w:r>
      <w:r w:rsidR="002008A5">
        <w:rPr>
          <w:b/>
        </w:rPr>
        <w:t>Г7.</w:t>
      </w:r>
      <w:r w:rsidRPr="002D537F">
        <w:rPr>
          <w:b/>
        </w:rPr>
        <w:t>11)</w:t>
      </w:r>
    </w:p>
    <w:p w:rsidR="002C1D5F" w:rsidRPr="00804D06" w:rsidRDefault="002C1D5F" w:rsidP="00D23BD9">
      <w:pPr>
        <w:pStyle w:val="NormalWeb"/>
        <w:spacing w:before="0" w:beforeAutospacing="0" w:after="0" w:afterAutospacing="0" w:line="276" w:lineRule="auto"/>
        <w:jc w:val="both"/>
      </w:pPr>
    </w:p>
    <w:p w:rsidR="002C1D5F" w:rsidRPr="00804D06" w:rsidRDefault="002C1D5F" w:rsidP="00D23BD9">
      <w:pPr>
        <w:pStyle w:val="NormalWeb"/>
        <w:spacing w:before="0" w:beforeAutospacing="0" w:after="0" w:afterAutospacing="0" w:line="276" w:lineRule="auto"/>
        <w:jc w:val="both"/>
      </w:pPr>
      <w:r w:rsidRPr="00804D06">
        <w:t>Phytophthora Species Inhabiting Middle and Lower Watercourse of Tundzha River in Bulgaria</w:t>
      </w:r>
    </w:p>
    <w:p w:rsidR="002C1D5F" w:rsidRPr="00804D06" w:rsidRDefault="002C1D5F" w:rsidP="00D23BD9">
      <w:pPr>
        <w:pStyle w:val="NormalWeb"/>
        <w:spacing w:before="0" w:beforeAutospacing="0" w:after="0" w:afterAutospacing="0" w:line="276" w:lineRule="auto"/>
        <w:jc w:val="both"/>
      </w:pPr>
      <w:r w:rsidRPr="00804D06">
        <w:t>Summary</w:t>
      </w:r>
    </w:p>
    <w:p w:rsidR="002C1D5F" w:rsidRPr="00804D06" w:rsidRDefault="002C1D5F" w:rsidP="00D23BD9">
      <w:pPr>
        <w:pStyle w:val="NormalWeb"/>
        <w:spacing w:before="0" w:beforeAutospacing="0" w:after="0" w:afterAutospacing="0" w:line="276" w:lineRule="auto"/>
        <w:jc w:val="both"/>
      </w:pPr>
      <w:r w:rsidRPr="00804D06">
        <w:t xml:space="preserve">Identification of </w:t>
      </w:r>
      <w:r w:rsidRPr="00804D06">
        <w:rPr>
          <w:i/>
        </w:rPr>
        <w:t>Phytophthora species</w:t>
      </w:r>
      <w:r w:rsidRPr="00804D06">
        <w:t xml:space="preserve"> along the Tundzha River in Bulgaria was conducted as a part of thorough research on the distribution of those organisms in the rivers of the country. The isolation of oomycete species of the genus </w:t>
      </w:r>
      <w:r w:rsidRPr="00804D06">
        <w:rPr>
          <w:i/>
        </w:rPr>
        <w:t>Phytophthora was</w:t>
      </w:r>
      <w:r w:rsidRPr="00804D06">
        <w:t xml:space="preserve"> performed by baiting method with Rhododendron leaves, placed in areas of middle and lower watercourse of the river. The exact species of obtained isolates were determined on the base of colony and spore morphology and sequence analyses of the ITS region of the nuclear DNA. A difference in the composition of </w:t>
      </w:r>
      <w:r w:rsidRPr="00804D06">
        <w:rPr>
          <w:i/>
        </w:rPr>
        <w:t>Phytophthora species</w:t>
      </w:r>
      <w:r w:rsidRPr="00804D06">
        <w:t xml:space="preserve"> inhabiting the middle and lower course of the river was found. In the middle stream of the river predominantly the species </w:t>
      </w:r>
      <w:r w:rsidRPr="00804D06">
        <w:rPr>
          <w:i/>
        </w:rPr>
        <w:t>P. citricola</w:t>
      </w:r>
      <w:r w:rsidRPr="00804D06">
        <w:t xml:space="preserve"> and </w:t>
      </w:r>
      <w:r w:rsidRPr="00804D06">
        <w:rPr>
          <w:i/>
        </w:rPr>
        <w:t>P. plurivora</w:t>
      </w:r>
      <w:r w:rsidRPr="00804D06">
        <w:t xml:space="preserve"> were registered which are known as pathogens with wide host range including raspberry, hop, orchards (walnut, almond, apricot, peach, cherry) often grown in mountain and semi mountain areas, as well as forest trees (beech, oak, chestnut, poplar). In the lower flow of the river mainly the weak pathogenic species </w:t>
      </w:r>
      <w:r w:rsidRPr="00804D06">
        <w:rPr>
          <w:i/>
        </w:rPr>
        <w:t>P. lacustris</w:t>
      </w:r>
      <w:r w:rsidRPr="00804D06">
        <w:t xml:space="preserve"> was isolated. </w:t>
      </w:r>
      <w:r w:rsidRPr="00804D06">
        <w:rPr>
          <w:i/>
        </w:rPr>
        <w:t>P. hydropathica</w:t>
      </w:r>
      <w:r w:rsidRPr="00804D06">
        <w:t xml:space="preserve"> was also found in both middle and down streams of the Tundzha River.</w:t>
      </w:r>
    </w:p>
    <w:p w:rsidR="002C1D5F" w:rsidRPr="00804D06" w:rsidRDefault="002C1D5F" w:rsidP="00D23BD9">
      <w:pPr>
        <w:pStyle w:val="NormalWeb"/>
        <w:spacing w:before="0" w:beforeAutospacing="0" w:after="0" w:afterAutospacing="0" w:line="276" w:lineRule="auto"/>
        <w:jc w:val="both"/>
      </w:pPr>
    </w:p>
    <w:p w:rsidR="002C1D5F" w:rsidRPr="00804D06" w:rsidRDefault="002C1D5F" w:rsidP="00D23BD9">
      <w:pPr>
        <w:pStyle w:val="NormalWeb"/>
        <w:spacing w:before="0" w:beforeAutospacing="0" w:after="0" w:afterAutospacing="0" w:line="276" w:lineRule="auto"/>
        <w:jc w:val="both"/>
        <w:rPr>
          <w:lang w:val="bg-BG"/>
        </w:rPr>
      </w:pPr>
      <w:r w:rsidRPr="00804D06">
        <w:rPr>
          <w:lang w:val="bg-BG"/>
        </w:rPr>
        <w:t>Видове Phytophthora обитаващи средното и долно течение на река Тунджа в България</w:t>
      </w:r>
    </w:p>
    <w:p w:rsidR="002C1D5F" w:rsidRPr="00804D06" w:rsidRDefault="002C1D5F" w:rsidP="00D23BD9">
      <w:pPr>
        <w:pStyle w:val="NormalWeb"/>
        <w:spacing w:before="0" w:beforeAutospacing="0" w:after="0" w:afterAutospacing="0" w:line="276" w:lineRule="auto"/>
        <w:jc w:val="both"/>
        <w:rPr>
          <w:lang w:val="bg-BG"/>
        </w:rPr>
      </w:pPr>
    </w:p>
    <w:p w:rsidR="002C1D5F" w:rsidRPr="00804D06" w:rsidRDefault="002C1D5F" w:rsidP="00D23BD9">
      <w:pPr>
        <w:pStyle w:val="NormalWeb"/>
        <w:spacing w:before="0" w:beforeAutospacing="0" w:after="0" w:afterAutospacing="0" w:line="276" w:lineRule="auto"/>
        <w:jc w:val="both"/>
        <w:rPr>
          <w:lang w:val="bg-BG"/>
        </w:rPr>
      </w:pPr>
      <w:r w:rsidRPr="00804D06">
        <w:rPr>
          <w:lang w:val="bg-BG"/>
        </w:rPr>
        <w:t>Резюме</w:t>
      </w:r>
    </w:p>
    <w:p w:rsidR="002C1D5F" w:rsidRPr="00804D06" w:rsidRDefault="002C1D5F" w:rsidP="00D23BD9">
      <w:pPr>
        <w:pStyle w:val="NormalWeb"/>
        <w:spacing w:before="0" w:beforeAutospacing="0" w:after="0" w:afterAutospacing="0" w:line="276" w:lineRule="auto"/>
        <w:jc w:val="both"/>
        <w:rPr>
          <w:lang w:val="bg-BG"/>
        </w:rPr>
      </w:pPr>
      <w:r w:rsidRPr="00804D06">
        <w:rPr>
          <w:lang w:val="bg-BG"/>
        </w:rPr>
        <w:t xml:space="preserve">Проучването на видове </w:t>
      </w:r>
      <w:r w:rsidRPr="00804D06">
        <w:t>Phytophthora</w:t>
      </w:r>
      <w:r w:rsidRPr="00804D06">
        <w:rPr>
          <w:lang w:val="bg-BG"/>
        </w:rPr>
        <w:t xml:space="preserve"> по течението на река Тунджа на територията на България е част от обстойно изследване на разпространението на тези организми в реките на страната. Изолирането на оомицетните видове от този род е извършено по метода на уловките с листа от рододендрон, заложени в средното и долното течение на реката. Точната видова принадлежност на получените изолати е определена на базата на морфологични признаци и анализ на секвенциите на </w:t>
      </w:r>
      <w:r w:rsidRPr="00804D06">
        <w:t>ITS</w:t>
      </w:r>
      <w:r w:rsidRPr="00804D06">
        <w:rPr>
          <w:lang w:val="bg-BG"/>
        </w:rPr>
        <w:t xml:space="preserve"> участъка на ДНК. Установено е различие във видовия състав на организмите от род </w:t>
      </w:r>
      <w:r w:rsidRPr="00804D06">
        <w:t>Phytophthora</w:t>
      </w:r>
      <w:r w:rsidRPr="00804D06">
        <w:rPr>
          <w:lang w:val="bg-BG"/>
        </w:rPr>
        <w:t xml:space="preserve">, обитаващи средното и долно течение на реката. В средното течение на реката са регистрирани основно видовете </w:t>
      </w:r>
      <w:r w:rsidRPr="00804D06">
        <w:rPr>
          <w:i/>
        </w:rPr>
        <w:t>P</w:t>
      </w:r>
      <w:r w:rsidRPr="00804D06">
        <w:rPr>
          <w:i/>
          <w:lang w:val="bg-BG"/>
        </w:rPr>
        <w:t xml:space="preserve">. </w:t>
      </w:r>
      <w:r w:rsidRPr="00804D06">
        <w:rPr>
          <w:i/>
        </w:rPr>
        <w:t>citricola</w:t>
      </w:r>
      <w:r w:rsidRPr="00804D06">
        <w:rPr>
          <w:lang w:val="bg-BG"/>
        </w:rPr>
        <w:t xml:space="preserve"> и </w:t>
      </w:r>
      <w:r w:rsidRPr="00804D06">
        <w:rPr>
          <w:i/>
        </w:rPr>
        <w:t>P</w:t>
      </w:r>
      <w:r w:rsidRPr="00804D06">
        <w:rPr>
          <w:i/>
          <w:lang w:val="bg-BG"/>
        </w:rPr>
        <w:t xml:space="preserve">. </w:t>
      </w:r>
      <w:r w:rsidRPr="00804D06">
        <w:rPr>
          <w:i/>
        </w:rPr>
        <w:t>plurivora</w:t>
      </w:r>
      <w:r w:rsidRPr="00804D06">
        <w:rPr>
          <w:lang w:val="bg-BG"/>
        </w:rPr>
        <w:t xml:space="preserve">, които са известни като патогени с широк кръг гостоприемници включващ малина, хмел, овощни дървесни видове (орех, бадем, кайсия, праскова, череша), често отглеждани в планински и полупланински райони, също и горски дървесни видове като бук, дъб, кестен и топола. В долното течение на реката е изолиран главно слабопатогенния вид </w:t>
      </w:r>
      <w:r w:rsidRPr="00804D06">
        <w:rPr>
          <w:i/>
        </w:rPr>
        <w:t>P</w:t>
      </w:r>
      <w:r w:rsidRPr="00804D06">
        <w:rPr>
          <w:i/>
          <w:lang w:val="bg-BG"/>
        </w:rPr>
        <w:t xml:space="preserve">. </w:t>
      </w:r>
      <w:r w:rsidRPr="00804D06">
        <w:rPr>
          <w:i/>
        </w:rPr>
        <w:t>lacustris</w:t>
      </w:r>
      <w:r w:rsidRPr="00804D06">
        <w:rPr>
          <w:lang w:val="bg-BG"/>
        </w:rPr>
        <w:t xml:space="preserve">. </w:t>
      </w:r>
      <w:r w:rsidRPr="00804D06">
        <w:rPr>
          <w:i/>
        </w:rPr>
        <w:t>P</w:t>
      </w:r>
      <w:r w:rsidRPr="00804D06">
        <w:rPr>
          <w:i/>
          <w:lang w:val="bg-BG"/>
        </w:rPr>
        <w:t xml:space="preserve">. </w:t>
      </w:r>
      <w:r w:rsidRPr="00804D06">
        <w:rPr>
          <w:i/>
        </w:rPr>
        <w:t>hydropathica</w:t>
      </w:r>
      <w:r w:rsidRPr="00804D06">
        <w:rPr>
          <w:lang w:val="bg-BG"/>
        </w:rPr>
        <w:t xml:space="preserve"> също е установена в двата изследвани участъка на река Тунджа.</w:t>
      </w:r>
    </w:p>
    <w:p w:rsidR="002C1D5F" w:rsidRDefault="002C1D5F" w:rsidP="00D23BD9">
      <w:pPr>
        <w:jc w:val="both"/>
        <w:rPr>
          <w:lang w:val="bg-BG"/>
        </w:rPr>
      </w:pPr>
    </w:p>
    <w:p w:rsidR="002C1D5F" w:rsidRPr="00804D06" w:rsidRDefault="002C1D5F" w:rsidP="00D23BD9">
      <w:pPr>
        <w:pStyle w:val="NormalWeb"/>
        <w:numPr>
          <w:ilvl w:val="0"/>
          <w:numId w:val="1"/>
        </w:numPr>
        <w:spacing w:before="0" w:beforeAutospacing="0" w:after="0" w:afterAutospacing="0" w:line="276" w:lineRule="auto"/>
        <w:jc w:val="both"/>
      </w:pPr>
      <w:r w:rsidRPr="00804D06">
        <w:t xml:space="preserve">Lyubenova, A., Slavov, S., </w:t>
      </w:r>
      <w:r w:rsidRPr="00B5468E">
        <w:rPr>
          <w:b/>
        </w:rPr>
        <w:t>Kostov, K.</w:t>
      </w:r>
      <w:r w:rsidRPr="00804D06">
        <w:t xml:space="preserve"> (2019) In vitro susceptibility to fungicides by </w:t>
      </w:r>
      <w:r w:rsidRPr="00804D06">
        <w:rPr>
          <w:i/>
        </w:rPr>
        <w:t>Phytophthora species</w:t>
      </w:r>
      <w:r w:rsidRPr="00804D06">
        <w:t xml:space="preserve"> isolated from different ecosystems in Bulgaria. Journal of Mountain Agriculture on the Balkans 22(2), 205–211. </w:t>
      </w:r>
      <w:r w:rsidRPr="002D537F">
        <w:rPr>
          <w:b/>
        </w:rPr>
        <w:t>(</w:t>
      </w:r>
      <w:r w:rsidR="002008A5">
        <w:rPr>
          <w:b/>
        </w:rPr>
        <w:t>Г7.</w:t>
      </w:r>
      <w:r w:rsidRPr="002D537F">
        <w:rPr>
          <w:b/>
        </w:rPr>
        <w:t>12)</w:t>
      </w:r>
    </w:p>
    <w:p w:rsidR="002C1D5F" w:rsidRPr="00804D06" w:rsidRDefault="002C1D5F" w:rsidP="00D23BD9">
      <w:pPr>
        <w:pStyle w:val="NormalWeb"/>
        <w:spacing w:before="0" w:beforeAutospacing="0" w:after="0" w:afterAutospacing="0" w:line="276" w:lineRule="auto"/>
        <w:jc w:val="both"/>
      </w:pPr>
    </w:p>
    <w:p w:rsidR="002C1D5F" w:rsidRPr="00804D06" w:rsidRDefault="002C1D5F" w:rsidP="00D23BD9">
      <w:pPr>
        <w:pStyle w:val="NormalWeb"/>
        <w:spacing w:before="0" w:beforeAutospacing="0" w:after="0" w:afterAutospacing="0" w:line="276" w:lineRule="auto"/>
        <w:jc w:val="both"/>
      </w:pPr>
      <w:r w:rsidRPr="00804D06">
        <w:lastRenderedPageBreak/>
        <w:t>In vitro Susceptibility to Fungicides by Phytophthora Species Isolated from Different Ecosystems in Bulgaria</w:t>
      </w:r>
    </w:p>
    <w:p w:rsidR="002C1D5F" w:rsidRPr="00804D06" w:rsidRDefault="002C1D5F" w:rsidP="00D23BD9">
      <w:pPr>
        <w:pStyle w:val="NormalWeb"/>
        <w:spacing w:before="0" w:beforeAutospacing="0" w:after="0" w:afterAutospacing="0" w:line="276" w:lineRule="auto"/>
        <w:jc w:val="both"/>
      </w:pPr>
    </w:p>
    <w:p w:rsidR="002C1D5F" w:rsidRPr="00804D06" w:rsidRDefault="002C1D5F" w:rsidP="00D23BD9">
      <w:pPr>
        <w:pStyle w:val="NormalWeb"/>
        <w:spacing w:before="0" w:beforeAutospacing="0" w:after="0" w:afterAutospacing="0" w:line="276" w:lineRule="auto"/>
        <w:jc w:val="both"/>
      </w:pPr>
      <w:r w:rsidRPr="00804D06">
        <w:t>Summary</w:t>
      </w:r>
    </w:p>
    <w:p w:rsidR="002C1D5F" w:rsidRPr="00804D06" w:rsidRDefault="002C1D5F" w:rsidP="00D23BD9">
      <w:pPr>
        <w:pStyle w:val="NormalWeb"/>
        <w:spacing w:before="0" w:beforeAutospacing="0" w:after="0" w:afterAutospacing="0" w:line="276" w:lineRule="auto"/>
        <w:jc w:val="both"/>
      </w:pPr>
      <w:r w:rsidRPr="00804D06">
        <w:t xml:space="preserve">Six </w:t>
      </w:r>
      <w:r w:rsidRPr="00804D06">
        <w:rPr>
          <w:i/>
        </w:rPr>
        <w:t>Phytophthora species</w:t>
      </w:r>
      <w:r w:rsidRPr="00804D06">
        <w:t xml:space="preserve"> originating from Bulgaria (</w:t>
      </w:r>
      <w:r w:rsidRPr="00804D06">
        <w:rPr>
          <w:i/>
        </w:rPr>
        <w:t>Phytophthora rosacearum</w:t>
      </w:r>
      <w:r w:rsidRPr="00804D06">
        <w:t xml:space="preserve">, </w:t>
      </w:r>
      <w:r w:rsidRPr="00804D06">
        <w:rPr>
          <w:i/>
        </w:rPr>
        <w:t>P. cryptogea</w:t>
      </w:r>
      <w:r w:rsidRPr="00804D06">
        <w:t xml:space="preserve">, </w:t>
      </w:r>
      <w:r w:rsidRPr="00804D06">
        <w:rPr>
          <w:i/>
        </w:rPr>
        <w:t>P. plurivora</w:t>
      </w:r>
      <w:r w:rsidRPr="00804D06">
        <w:t xml:space="preserve">, </w:t>
      </w:r>
      <w:r w:rsidRPr="00804D06">
        <w:rPr>
          <w:i/>
        </w:rPr>
        <w:t>P. cambivora</w:t>
      </w:r>
      <w:r w:rsidRPr="00804D06">
        <w:t xml:space="preserve">, </w:t>
      </w:r>
      <w:r w:rsidRPr="00804D06">
        <w:rPr>
          <w:i/>
        </w:rPr>
        <w:t>P. citricola</w:t>
      </w:r>
      <w:r w:rsidRPr="00804D06">
        <w:t xml:space="preserve"> and </w:t>
      </w:r>
      <w:r w:rsidRPr="00804D06">
        <w:rPr>
          <w:i/>
        </w:rPr>
        <w:t>P. megasperma</w:t>
      </w:r>
      <w:r w:rsidRPr="00804D06">
        <w:t xml:space="preserve">) were tested in in vitro experiment for susceptibility to different fungicides. Four popular fungicides registered for control of the Oomycetes were used: Verita WG (667 g/kg fosetyl aluminum and 44 g/kg fenamidone), Acrobat M DG (90 g/kg dimethomorph and 600 g/kg mancozeb), Infinito SC (625 g/l propamocarb hydrochloride and 62.5 g/l fluopicolide) and Ridomil Gold MZ 68 WP (64% mancozeb and 4% metalaxyl- M). The four fungicides exhibited varying mycelial growth inhibiting effect on the tested isolates. Among the tested isolates, the most sensitive to all fungicides was </w:t>
      </w:r>
      <w:r w:rsidRPr="00804D06">
        <w:rPr>
          <w:i/>
        </w:rPr>
        <w:t>P. rosacearum</w:t>
      </w:r>
      <w:r w:rsidRPr="00804D06">
        <w:t xml:space="preserve"> T 8/2. The fungicide Verita had the lowest impact on the growth of isolates in the in vitro experiments, which may be explained by its action mechanism. A greater fungistatic effect on the mycelial growth of the isolates was demonstrated by the fungicides Acrobat, Ridomil Gold and Infinito, which are promising in restriction of disease symptoms caused by these plant pathogens in vivo.</w:t>
      </w:r>
    </w:p>
    <w:p w:rsidR="002C1D5F" w:rsidRPr="00804D06" w:rsidRDefault="002C1D5F" w:rsidP="00D23BD9">
      <w:pPr>
        <w:pStyle w:val="NormalWeb"/>
        <w:spacing w:before="0" w:beforeAutospacing="0" w:after="0" w:afterAutospacing="0" w:line="276" w:lineRule="auto"/>
        <w:jc w:val="both"/>
      </w:pPr>
    </w:p>
    <w:p w:rsidR="002C1D5F" w:rsidRPr="00804D06" w:rsidRDefault="002C1D5F" w:rsidP="00D23BD9">
      <w:pPr>
        <w:pStyle w:val="NormalWeb"/>
        <w:spacing w:before="0" w:beforeAutospacing="0" w:after="0" w:afterAutospacing="0" w:line="276" w:lineRule="auto"/>
        <w:jc w:val="both"/>
      </w:pPr>
    </w:p>
    <w:p w:rsidR="002C1D5F" w:rsidRPr="00804D06" w:rsidRDefault="002C1D5F" w:rsidP="00D23BD9">
      <w:pPr>
        <w:pStyle w:val="NormalWeb"/>
        <w:spacing w:before="0" w:beforeAutospacing="0" w:after="0" w:afterAutospacing="0" w:line="276" w:lineRule="auto"/>
        <w:jc w:val="both"/>
        <w:rPr>
          <w:lang w:val="bg-BG"/>
        </w:rPr>
      </w:pPr>
      <w:r w:rsidRPr="00804D06">
        <w:rPr>
          <w:lang w:val="bg-BG"/>
        </w:rPr>
        <w:t>In vitro тестове за чувствителност към фунгициди на видове от род Phytophthora изолирани от различни екосистеми в България</w:t>
      </w:r>
    </w:p>
    <w:p w:rsidR="002C1D5F" w:rsidRPr="00804D06" w:rsidRDefault="002C1D5F" w:rsidP="00D23BD9">
      <w:pPr>
        <w:pStyle w:val="NormalWeb"/>
        <w:spacing w:before="0" w:beforeAutospacing="0" w:after="0" w:afterAutospacing="0" w:line="276" w:lineRule="auto"/>
        <w:jc w:val="both"/>
        <w:rPr>
          <w:lang w:val="bg-BG"/>
        </w:rPr>
      </w:pPr>
    </w:p>
    <w:p w:rsidR="002C1D5F" w:rsidRPr="00804D06" w:rsidRDefault="002C1D5F" w:rsidP="00D23BD9">
      <w:pPr>
        <w:pStyle w:val="NormalWeb"/>
        <w:spacing w:before="0" w:beforeAutospacing="0" w:after="0" w:afterAutospacing="0" w:line="276" w:lineRule="auto"/>
        <w:jc w:val="both"/>
        <w:rPr>
          <w:lang w:val="bg-BG"/>
        </w:rPr>
      </w:pPr>
      <w:r w:rsidRPr="00804D06">
        <w:rPr>
          <w:lang w:val="bg-BG"/>
        </w:rPr>
        <w:t>Резюме</w:t>
      </w:r>
    </w:p>
    <w:p w:rsidR="002C1D5F" w:rsidRPr="00804D06" w:rsidRDefault="002C1D5F" w:rsidP="00D23BD9">
      <w:pPr>
        <w:pStyle w:val="NormalWeb"/>
        <w:spacing w:before="0" w:beforeAutospacing="0" w:after="0" w:afterAutospacing="0" w:line="276" w:lineRule="auto"/>
        <w:jc w:val="both"/>
        <w:rPr>
          <w:lang w:val="bg-BG"/>
        </w:rPr>
      </w:pPr>
      <w:r w:rsidRPr="00804D06">
        <w:rPr>
          <w:lang w:val="bg-BG"/>
        </w:rPr>
        <w:t xml:space="preserve">Шест вида от род </w:t>
      </w:r>
      <w:r w:rsidRPr="00804D06">
        <w:t>Phytophthora</w:t>
      </w:r>
      <w:r w:rsidRPr="00804D06">
        <w:rPr>
          <w:lang w:val="bg-BG"/>
        </w:rPr>
        <w:t xml:space="preserve"> изолирани в България (</w:t>
      </w:r>
      <w:r w:rsidRPr="00804D06">
        <w:rPr>
          <w:i/>
        </w:rPr>
        <w:t>Phytophthora</w:t>
      </w:r>
      <w:r w:rsidRPr="00804D06">
        <w:rPr>
          <w:i/>
          <w:lang w:val="bg-BG"/>
        </w:rPr>
        <w:t xml:space="preserve"> </w:t>
      </w:r>
      <w:r w:rsidRPr="00804D06">
        <w:rPr>
          <w:i/>
        </w:rPr>
        <w:t>rosacearum</w:t>
      </w:r>
      <w:r w:rsidRPr="00804D06">
        <w:rPr>
          <w:lang w:val="bg-BG"/>
        </w:rPr>
        <w:t xml:space="preserve">, </w:t>
      </w:r>
      <w:r w:rsidRPr="00804D06">
        <w:rPr>
          <w:i/>
        </w:rPr>
        <w:t>P</w:t>
      </w:r>
      <w:r w:rsidRPr="00804D06">
        <w:rPr>
          <w:i/>
          <w:lang w:val="bg-BG"/>
        </w:rPr>
        <w:t xml:space="preserve">. </w:t>
      </w:r>
      <w:r w:rsidRPr="00804D06">
        <w:rPr>
          <w:i/>
        </w:rPr>
        <w:t>cryptogea</w:t>
      </w:r>
      <w:r w:rsidRPr="00804D06">
        <w:rPr>
          <w:lang w:val="bg-BG"/>
        </w:rPr>
        <w:t xml:space="preserve">, </w:t>
      </w:r>
      <w:r w:rsidRPr="00804D06">
        <w:rPr>
          <w:i/>
        </w:rPr>
        <w:t>P</w:t>
      </w:r>
      <w:r w:rsidRPr="00804D06">
        <w:rPr>
          <w:i/>
          <w:lang w:val="bg-BG"/>
        </w:rPr>
        <w:t xml:space="preserve">. </w:t>
      </w:r>
      <w:r w:rsidRPr="00804D06">
        <w:rPr>
          <w:i/>
        </w:rPr>
        <w:t>plurivora</w:t>
      </w:r>
      <w:r w:rsidRPr="00804D06">
        <w:rPr>
          <w:lang w:val="bg-BG"/>
        </w:rPr>
        <w:t xml:space="preserve">, </w:t>
      </w:r>
      <w:r w:rsidRPr="00804D06">
        <w:rPr>
          <w:i/>
        </w:rPr>
        <w:t>P</w:t>
      </w:r>
      <w:r w:rsidRPr="00804D06">
        <w:rPr>
          <w:i/>
          <w:lang w:val="bg-BG"/>
        </w:rPr>
        <w:t xml:space="preserve">. </w:t>
      </w:r>
      <w:r w:rsidRPr="00804D06">
        <w:rPr>
          <w:i/>
        </w:rPr>
        <w:t>cambivora</w:t>
      </w:r>
      <w:r w:rsidRPr="00804D06">
        <w:rPr>
          <w:lang w:val="bg-BG"/>
        </w:rPr>
        <w:t xml:space="preserve">, </w:t>
      </w:r>
      <w:r w:rsidRPr="00804D06">
        <w:rPr>
          <w:i/>
        </w:rPr>
        <w:t>P</w:t>
      </w:r>
      <w:r w:rsidRPr="00804D06">
        <w:rPr>
          <w:i/>
          <w:lang w:val="bg-BG"/>
        </w:rPr>
        <w:t xml:space="preserve">. </w:t>
      </w:r>
      <w:r w:rsidRPr="00804D06">
        <w:rPr>
          <w:i/>
        </w:rPr>
        <w:t>citricola</w:t>
      </w:r>
      <w:r w:rsidRPr="00804D06">
        <w:rPr>
          <w:lang w:val="bg-BG"/>
        </w:rPr>
        <w:t xml:space="preserve"> и </w:t>
      </w:r>
      <w:r w:rsidRPr="00804D06">
        <w:rPr>
          <w:i/>
        </w:rPr>
        <w:t>P</w:t>
      </w:r>
      <w:r w:rsidRPr="00804D06">
        <w:rPr>
          <w:i/>
          <w:lang w:val="bg-BG"/>
        </w:rPr>
        <w:t xml:space="preserve">. </w:t>
      </w:r>
      <w:r w:rsidRPr="00804D06">
        <w:rPr>
          <w:i/>
        </w:rPr>
        <w:t>megasperma</w:t>
      </w:r>
      <w:r w:rsidRPr="00804D06">
        <w:rPr>
          <w:lang w:val="bg-BG"/>
        </w:rPr>
        <w:t xml:space="preserve">) бяха тествани в </w:t>
      </w:r>
      <w:r w:rsidRPr="00804D06">
        <w:t>in</w:t>
      </w:r>
      <w:r w:rsidRPr="00804D06">
        <w:rPr>
          <w:lang w:val="bg-BG"/>
        </w:rPr>
        <w:t xml:space="preserve"> </w:t>
      </w:r>
      <w:r w:rsidRPr="00804D06">
        <w:t>vitro</w:t>
      </w:r>
      <w:r w:rsidRPr="00804D06">
        <w:rPr>
          <w:lang w:val="bg-BG"/>
        </w:rPr>
        <w:t xml:space="preserve"> експеримент за чувствителност към различни фунгициди. Използвани са четири популярни фунгицида, регистрирани за борба с оомицетите: Верита ВГ (667 </w:t>
      </w:r>
      <w:r w:rsidRPr="00804D06">
        <w:t>g</w:t>
      </w:r>
      <w:r w:rsidRPr="00804D06">
        <w:rPr>
          <w:lang w:val="bg-BG"/>
        </w:rPr>
        <w:t>/</w:t>
      </w:r>
      <w:r w:rsidRPr="00804D06">
        <w:t>kg</w:t>
      </w:r>
      <w:r w:rsidRPr="00804D06">
        <w:rPr>
          <w:lang w:val="bg-BG"/>
        </w:rPr>
        <w:t xml:space="preserve"> алуминиев фозетил и 44 </w:t>
      </w:r>
      <w:r w:rsidRPr="00804D06">
        <w:t>g</w:t>
      </w:r>
      <w:r w:rsidRPr="00804D06">
        <w:rPr>
          <w:lang w:val="bg-BG"/>
        </w:rPr>
        <w:t>/</w:t>
      </w:r>
      <w:r w:rsidRPr="00804D06">
        <w:t>kg</w:t>
      </w:r>
      <w:r w:rsidRPr="00804D06">
        <w:rPr>
          <w:lang w:val="bg-BG"/>
        </w:rPr>
        <w:t xml:space="preserve"> фенамидон), Акробат МЦ (90 </w:t>
      </w:r>
      <w:r w:rsidRPr="00804D06">
        <w:t>g</w:t>
      </w:r>
      <w:r w:rsidRPr="00804D06">
        <w:rPr>
          <w:lang w:val="bg-BG"/>
        </w:rPr>
        <w:t>/</w:t>
      </w:r>
      <w:r w:rsidRPr="00804D06">
        <w:t>kg</w:t>
      </w:r>
      <w:r w:rsidRPr="00804D06">
        <w:rPr>
          <w:lang w:val="bg-BG"/>
        </w:rPr>
        <w:t xml:space="preserve"> диметоморф и 600 </w:t>
      </w:r>
      <w:r w:rsidRPr="00804D06">
        <w:t>g</w:t>
      </w:r>
      <w:r w:rsidRPr="00804D06">
        <w:rPr>
          <w:lang w:val="bg-BG"/>
        </w:rPr>
        <w:t>/</w:t>
      </w:r>
      <w:r w:rsidRPr="00804D06">
        <w:t>kg</w:t>
      </w:r>
      <w:r w:rsidRPr="00804D06">
        <w:rPr>
          <w:lang w:val="bg-BG"/>
        </w:rPr>
        <w:t xml:space="preserve"> манкоцеб), Инфинито СК (625 </w:t>
      </w:r>
      <w:r w:rsidRPr="00804D06">
        <w:t>g</w:t>
      </w:r>
      <w:r w:rsidRPr="00804D06">
        <w:rPr>
          <w:lang w:val="bg-BG"/>
        </w:rPr>
        <w:t>/</w:t>
      </w:r>
      <w:r w:rsidRPr="00804D06">
        <w:t>l</w:t>
      </w:r>
      <w:r w:rsidRPr="00804D06">
        <w:rPr>
          <w:lang w:val="bg-BG"/>
        </w:rPr>
        <w:t xml:space="preserve"> пропамокарб хидрохлорид и 62,5 </w:t>
      </w:r>
      <w:r w:rsidRPr="00804D06">
        <w:t>g</w:t>
      </w:r>
      <w:r w:rsidRPr="00804D06">
        <w:rPr>
          <w:lang w:val="bg-BG"/>
        </w:rPr>
        <w:t>/</w:t>
      </w:r>
      <w:r w:rsidRPr="00804D06">
        <w:t>l</w:t>
      </w:r>
      <w:r w:rsidRPr="00804D06">
        <w:rPr>
          <w:lang w:val="bg-BG"/>
        </w:rPr>
        <w:t xml:space="preserve"> флуопиколид) и Ридомил Голд МЦ (64% манкоцеб и 4% металаксил–М). Четирите фунгицида потискат в различна степен растежа на мицела на изследваните изолати. Фунгицидът Верита в най-ниска степен влияе върху мицелния растеж на изолатите при </w:t>
      </w:r>
      <w:r w:rsidRPr="00804D06">
        <w:t>in</w:t>
      </w:r>
      <w:r w:rsidRPr="00804D06">
        <w:rPr>
          <w:lang w:val="bg-BG"/>
        </w:rPr>
        <w:t xml:space="preserve"> </w:t>
      </w:r>
      <w:r w:rsidRPr="00804D06">
        <w:t>vitro</w:t>
      </w:r>
      <w:r w:rsidRPr="00804D06">
        <w:rPr>
          <w:lang w:val="bg-BG"/>
        </w:rPr>
        <w:t xml:space="preserve"> експериментите, като това може да се обясни с неговия механизъм на действие. От тестваните изолати най-чувствителен към всички фунгициди е </w:t>
      </w:r>
      <w:r w:rsidRPr="00804D06">
        <w:rPr>
          <w:i/>
        </w:rPr>
        <w:t>P</w:t>
      </w:r>
      <w:r w:rsidRPr="00804D06">
        <w:rPr>
          <w:i/>
          <w:lang w:val="bg-BG"/>
        </w:rPr>
        <w:t xml:space="preserve">. </w:t>
      </w:r>
      <w:r w:rsidRPr="00804D06">
        <w:rPr>
          <w:i/>
        </w:rPr>
        <w:t>rosacearum</w:t>
      </w:r>
      <w:r w:rsidRPr="00804D06">
        <w:rPr>
          <w:lang w:val="bg-BG"/>
        </w:rPr>
        <w:t xml:space="preserve"> Т 8/2. По-голям фунги- статичен ефект върху мицелния растеж на изолатите имаха фунгицидите Акробат, Ридомил голд и Инфинито, които евентуално могат да се използват при ограничаване на вредите причинявани от тези растителни патогени при </w:t>
      </w:r>
      <w:r w:rsidRPr="00804D06">
        <w:t>in</w:t>
      </w:r>
      <w:r w:rsidRPr="00804D06">
        <w:rPr>
          <w:lang w:val="bg-BG"/>
        </w:rPr>
        <w:t xml:space="preserve"> </w:t>
      </w:r>
      <w:r w:rsidRPr="00804D06">
        <w:t>vivo</w:t>
      </w:r>
      <w:r w:rsidRPr="00804D06">
        <w:rPr>
          <w:lang w:val="bg-BG"/>
        </w:rPr>
        <w:t xml:space="preserve"> условия.</w:t>
      </w:r>
    </w:p>
    <w:p w:rsidR="002C1D5F" w:rsidRDefault="002C1D5F" w:rsidP="00D23BD9">
      <w:pPr>
        <w:jc w:val="both"/>
        <w:rPr>
          <w:lang w:val="bg-BG"/>
        </w:rPr>
      </w:pPr>
    </w:p>
    <w:p w:rsidR="00BF2E1B" w:rsidRPr="00804D06" w:rsidRDefault="00BF2E1B" w:rsidP="00D23BD9">
      <w:pPr>
        <w:pStyle w:val="NormalWeb"/>
        <w:numPr>
          <w:ilvl w:val="0"/>
          <w:numId w:val="1"/>
        </w:numPr>
        <w:spacing w:before="0" w:beforeAutospacing="0" w:after="0" w:afterAutospacing="0" w:line="276" w:lineRule="auto"/>
        <w:jc w:val="both"/>
      </w:pPr>
      <w:r w:rsidRPr="00804D06">
        <w:lastRenderedPageBreak/>
        <w:t xml:space="preserve">Slavov, S., Lyubenova, A., </w:t>
      </w:r>
      <w:r w:rsidRPr="00804D06">
        <w:rPr>
          <w:b/>
        </w:rPr>
        <w:t>Kostov, K.</w:t>
      </w:r>
      <w:r w:rsidRPr="00804D06">
        <w:t xml:space="preserve">, Christova, P., Bardarska, G. (2020) Influence of sewage sludge application on the growth and development of forest plant species. Nauka za Gorata 56, 157–166. </w:t>
      </w:r>
      <w:r w:rsidRPr="00C51DA1">
        <w:rPr>
          <w:b/>
        </w:rPr>
        <w:t>(</w:t>
      </w:r>
      <w:r w:rsidR="002008A5">
        <w:rPr>
          <w:b/>
        </w:rPr>
        <w:t>Г7.</w:t>
      </w:r>
      <w:r w:rsidRPr="00C51DA1">
        <w:rPr>
          <w:b/>
        </w:rPr>
        <w:t>13)</w:t>
      </w:r>
    </w:p>
    <w:p w:rsidR="00BF2E1B" w:rsidRPr="00804D06" w:rsidRDefault="00BF2E1B" w:rsidP="00D23BD9">
      <w:pPr>
        <w:pStyle w:val="NormalWeb"/>
        <w:spacing w:before="0" w:beforeAutospacing="0" w:after="0" w:afterAutospacing="0" w:line="276" w:lineRule="auto"/>
        <w:ind w:left="360"/>
        <w:jc w:val="both"/>
      </w:pPr>
    </w:p>
    <w:p w:rsidR="00BF2E1B" w:rsidRPr="00804D06" w:rsidRDefault="00BF2E1B" w:rsidP="00D23BD9">
      <w:pPr>
        <w:pStyle w:val="NormalWeb"/>
        <w:spacing w:before="0" w:beforeAutospacing="0" w:after="0" w:afterAutospacing="0" w:line="276" w:lineRule="auto"/>
        <w:jc w:val="both"/>
      </w:pPr>
      <w:r w:rsidRPr="00804D06">
        <w:t>Influence of sewage sludge application on the growth and development of forest plant species</w:t>
      </w:r>
    </w:p>
    <w:p w:rsidR="00BF2E1B" w:rsidRPr="00804D06" w:rsidRDefault="00BF2E1B" w:rsidP="00D23BD9">
      <w:pPr>
        <w:pStyle w:val="NormalWeb"/>
        <w:spacing w:before="0" w:beforeAutospacing="0" w:after="0" w:afterAutospacing="0" w:line="276" w:lineRule="auto"/>
        <w:ind w:left="360"/>
        <w:jc w:val="both"/>
      </w:pPr>
    </w:p>
    <w:p w:rsidR="00BF2E1B" w:rsidRPr="00804D06" w:rsidRDefault="00BF2E1B" w:rsidP="00D23BD9">
      <w:pPr>
        <w:pStyle w:val="NormalWeb"/>
        <w:spacing w:before="0" w:beforeAutospacing="0" w:after="0" w:afterAutospacing="0" w:line="276" w:lineRule="auto"/>
        <w:jc w:val="both"/>
      </w:pPr>
      <w:r w:rsidRPr="00804D06">
        <w:t>Summary</w:t>
      </w:r>
    </w:p>
    <w:p w:rsidR="00BF2E1B" w:rsidRPr="00804D06" w:rsidRDefault="00BF2E1B" w:rsidP="00D23BD9">
      <w:pPr>
        <w:pStyle w:val="NormalWeb"/>
        <w:spacing w:before="0" w:beforeAutospacing="0" w:after="0" w:afterAutospacing="0" w:line="276" w:lineRule="auto"/>
        <w:jc w:val="both"/>
      </w:pPr>
      <w:r w:rsidRPr="00804D06">
        <w:t>The aim of the study is to assess and characterize the infectious risk of wastewater treatment sludge from a phytopathological perspective, as well as the impact of sludge on the development of young woody plants if applicated as soil improvers in forestry. Traditional microbiological and contemporary molecular methods were used for identification of potentially dangerous for the forest flora microorganisms along wastewater route in WWTP Batanovtsi as well as in the final product (stabilized dehydrated sludge). Pot and field experiments were carried out in order to establish the influence of wastewater sludge on the growth and development of black and scots pine, sessile oak, Turkish oak and black locust. The fungal isolates obtained from the sludge did not show phytopathogenicity in the performed tests. The inclusion of sludge in soil mixtures for growing of seedlings in pots had a positive effect on the growth of black locust seedlings and a negative effect on sessile oak, scots pine and black pine. The use of dry sludge from Batanovtsi WWTP on previously burned terrain afforested with black pine had a negative impact on plant growth and development. We conclude that before using sludge from waste water treatment plants in nurseries or burned forest terrains, a thorough study of the possible impact on the growth and development of each particular plant species is required.</w:t>
      </w:r>
    </w:p>
    <w:p w:rsidR="00BF2E1B" w:rsidRPr="00804D06" w:rsidRDefault="00BF2E1B" w:rsidP="00D23BD9">
      <w:pPr>
        <w:pStyle w:val="NormalWeb"/>
        <w:spacing w:before="0" w:beforeAutospacing="0" w:after="0" w:afterAutospacing="0" w:line="276" w:lineRule="auto"/>
        <w:ind w:left="360"/>
        <w:jc w:val="both"/>
      </w:pPr>
    </w:p>
    <w:p w:rsidR="00BF2E1B" w:rsidRPr="00804D06" w:rsidRDefault="00BF2E1B" w:rsidP="00D23BD9">
      <w:pPr>
        <w:pStyle w:val="NormalWeb"/>
        <w:spacing w:before="0" w:beforeAutospacing="0" w:after="0" w:afterAutospacing="0" w:line="276" w:lineRule="auto"/>
        <w:jc w:val="both"/>
        <w:rPr>
          <w:lang w:val="bg-BG"/>
        </w:rPr>
      </w:pPr>
      <w:r w:rsidRPr="00804D06">
        <w:rPr>
          <w:lang w:val="bg-BG"/>
        </w:rPr>
        <w:t>Влияние на утайки от пречиствателни станции върху растежа и развитието на растителни видове от горския фонд</w:t>
      </w:r>
    </w:p>
    <w:p w:rsidR="00BF2E1B" w:rsidRPr="00804D06" w:rsidRDefault="00BF2E1B" w:rsidP="00D23BD9">
      <w:pPr>
        <w:pStyle w:val="NormalWeb"/>
        <w:spacing w:before="0" w:beforeAutospacing="0" w:after="0" w:afterAutospacing="0" w:line="276" w:lineRule="auto"/>
        <w:ind w:left="360"/>
        <w:jc w:val="both"/>
        <w:rPr>
          <w:lang w:val="bg-BG"/>
        </w:rPr>
      </w:pPr>
    </w:p>
    <w:p w:rsidR="00BF2E1B" w:rsidRPr="00804D06" w:rsidRDefault="00BF2E1B" w:rsidP="00D23BD9">
      <w:pPr>
        <w:pStyle w:val="NormalWeb"/>
        <w:spacing w:before="0" w:beforeAutospacing="0" w:after="0" w:afterAutospacing="0" w:line="276" w:lineRule="auto"/>
        <w:jc w:val="both"/>
        <w:rPr>
          <w:lang w:val="bg-BG"/>
        </w:rPr>
      </w:pPr>
      <w:r w:rsidRPr="00804D06">
        <w:rPr>
          <w:lang w:val="bg-BG"/>
        </w:rPr>
        <w:t>Резюме</w:t>
      </w:r>
    </w:p>
    <w:p w:rsidR="00BF2E1B" w:rsidRPr="00804D06" w:rsidRDefault="00BF2E1B" w:rsidP="00D23BD9">
      <w:pPr>
        <w:pStyle w:val="NormalWeb"/>
        <w:spacing w:before="0" w:beforeAutospacing="0" w:after="0" w:afterAutospacing="0" w:line="276" w:lineRule="auto"/>
        <w:jc w:val="both"/>
        <w:rPr>
          <w:lang w:val="bg-BG"/>
        </w:rPr>
      </w:pPr>
      <w:r w:rsidRPr="00804D06">
        <w:rPr>
          <w:lang w:val="bg-BG"/>
        </w:rPr>
        <w:t xml:space="preserve">Целта на изследването е оценка и характеризиране на инфекциозния риск от фитопатологична гледна точка на утайки получени от пречистване на отпадъчни води при евентуалното им прилагане като почвени подобрители в горското стопанство и оценка на тяхното влияние върху развитието на млади горски растения. Използвани са традиционни микробиологични и съвременни молекулярни методи за установяването на потенциално опасни за горската флора видове микроорганизми както по пътя на отпадъчните води в ПСОВ гр, Батановци, така и в крайния продукт (стабилизирана обезводнена утайка). Проведени са съдови опити за установяване на влиянието на утайките върху растежа и развитието на бял и черен бор, зимен дъб, цер и бяла акация, както и теренен опит с черен бор. Получените от утайките гъбни изолати не проявиха фитопатогенност в проведените тестове. При включването на утайки в почвени смеси за отглеждане на фиданки в саксийни условия е отчетено положително влияние върху растежа на бялата акация и негативно влияние при зимен дъб, бял бор и черен бор. Внасянето на сухи утайки от ПСОВ Батановци </w:t>
      </w:r>
      <w:r w:rsidRPr="00804D06">
        <w:rPr>
          <w:lang w:val="bg-BG"/>
        </w:rPr>
        <w:lastRenderedPageBreak/>
        <w:t>на опожарен терен залесен с черен бор, влияе негативно върху растежа и развитието на растенията. При използване на утайки от пречиствателните станции в разсадници или опожарени горски терени е необходимо предварително обстойно изследване на влиянието им върху растежа и развитието на всеки конкретен растителен вид.</w:t>
      </w:r>
    </w:p>
    <w:p w:rsidR="00BF2E1B" w:rsidRDefault="00BF2E1B" w:rsidP="00D23BD9">
      <w:pPr>
        <w:jc w:val="both"/>
        <w:rPr>
          <w:lang w:val="bg-BG"/>
        </w:rPr>
      </w:pPr>
    </w:p>
    <w:p w:rsidR="00BF2E1B" w:rsidRPr="00804D06" w:rsidRDefault="00BF2E1B" w:rsidP="00D23BD9">
      <w:pPr>
        <w:pStyle w:val="NormalWeb"/>
        <w:numPr>
          <w:ilvl w:val="0"/>
          <w:numId w:val="1"/>
        </w:numPr>
        <w:spacing w:before="0" w:beforeAutospacing="0" w:after="0" w:afterAutospacing="0" w:line="276" w:lineRule="auto"/>
        <w:jc w:val="both"/>
      </w:pPr>
      <w:r w:rsidRPr="00804D06">
        <w:t xml:space="preserve">Lyubenova, A., Christova, P., Slavov, S., </w:t>
      </w:r>
      <w:r w:rsidRPr="00472B73">
        <w:rPr>
          <w:b/>
        </w:rPr>
        <w:t>Kostov, K.</w:t>
      </w:r>
      <w:r w:rsidRPr="00804D06">
        <w:t xml:space="preserve"> (2020) Characterization and pathogenicity of three </w:t>
      </w:r>
      <w:r w:rsidRPr="00804D06">
        <w:rPr>
          <w:i/>
        </w:rPr>
        <w:t>Phytophthora spp</w:t>
      </w:r>
      <w:r w:rsidRPr="00804D06">
        <w:t xml:space="preserve">. recovered from rivers in Bulgaria. Journal of Phytopathology 168(4), 195–203. </w:t>
      </w:r>
      <w:r w:rsidRPr="00C51DA1">
        <w:rPr>
          <w:b/>
        </w:rPr>
        <w:t>(</w:t>
      </w:r>
      <w:r w:rsidR="002008A5">
        <w:rPr>
          <w:b/>
        </w:rPr>
        <w:t>Г7.</w:t>
      </w:r>
      <w:r w:rsidRPr="00C51DA1">
        <w:rPr>
          <w:b/>
        </w:rPr>
        <w:t>14)</w:t>
      </w:r>
    </w:p>
    <w:p w:rsidR="00BF2E1B" w:rsidRPr="00804D06" w:rsidRDefault="00BF2E1B" w:rsidP="00D23BD9">
      <w:pPr>
        <w:pStyle w:val="NormalWeb"/>
        <w:spacing w:before="0" w:beforeAutospacing="0" w:after="0" w:afterAutospacing="0" w:line="276" w:lineRule="auto"/>
        <w:jc w:val="both"/>
      </w:pPr>
    </w:p>
    <w:p w:rsidR="00BF2E1B" w:rsidRPr="00804D06" w:rsidRDefault="00BF2E1B" w:rsidP="00D23BD9">
      <w:pPr>
        <w:pStyle w:val="NormalWeb"/>
        <w:spacing w:before="0" w:beforeAutospacing="0" w:after="0" w:afterAutospacing="0" w:line="276" w:lineRule="auto"/>
        <w:jc w:val="both"/>
      </w:pPr>
      <w:r w:rsidRPr="00804D06">
        <w:t xml:space="preserve">Characterization and pathogenicity of three </w:t>
      </w:r>
      <w:r w:rsidRPr="00804D06">
        <w:rPr>
          <w:i/>
        </w:rPr>
        <w:t>Phytophthora spp</w:t>
      </w:r>
      <w:r w:rsidRPr="00804D06">
        <w:t>. recovered from rivers in Bulgaria</w:t>
      </w:r>
    </w:p>
    <w:p w:rsidR="00BF2E1B" w:rsidRPr="00804D06" w:rsidRDefault="00BF2E1B" w:rsidP="00D23BD9">
      <w:pPr>
        <w:pStyle w:val="NormalWeb"/>
        <w:spacing w:before="0" w:beforeAutospacing="0" w:after="0" w:afterAutospacing="0" w:line="276" w:lineRule="auto"/>
        <w:jc w:val="both"/>
      </w:pPr>
    </w:p>
    <w:p w:rsidR="00BF2E1B" w:rsidRPr="00804D06" w:rsidRDefault="00BF2E1B" w:rsidP="00D23BD9">
      <w:pPr>
        <w:pStyle w:val="NormalWeb"/>
        <w:spacing w:before="0" w:beforeAutospacing="0" w:after="0" w:afterAutospacing="0" w:line="276" w:lineRule="auto"/>
        <w:jc w:val="both"/>
      </w:pPr>
      <w:r w:rsidRPr="00804D06">
        <w:t>Abstract</w:t>
      </w:r>
    </w:p>
    <w:p w:rsidR="00BF2E1B" w:rsidRPr="00804D06" w:rsidRDefault="00BF2E1B" w:rsidP="00D23BD9">
      <w:pPr>
        <w:pStyle w:val="NormalWeb"/>
        <w:spacing w:before="0" w:beforeAutospacing="0" w:after="0" w:afterAutospacing="0" w:line="276" w:lineRule="auto"/>
        <w:jc w:val="both"/>
      </w:pPr>
      <w:r w:rsidRPr="00804D06">
        <w:t xml:space="preserve">Many </w:t>
      </w:r>
      <w:r w:rsidRPr="00804D06">
        <w:rPr>
          <w:i/>
        </w:rPr>
        <w:t>Phytophthora species</w:t>
      </w:r>
      <w:r w:rsidRPr="00804D06">
        <w:t xml:space="preserve"> are pathogens on fruit trees and may cause destructive diseases. In the current study, we examined six </w:t>
      </w:r>
      <w:r w:rsidRPr="00804D06">
        <w:rPr>
          <w:i/>
        </w:rPr>
        <w:t>Phytophthora isolates</w:t>
      </w:r>
      <w:r w:rsidRPr="00804D06">
        <w:t xml:space="preserve"> recovered from rivers in Bulgaria, representatives of the following three species: </w:t>
      </w:r>
      <w:r w:rsidRPr="00804D06">
        <w:rPr>
          <w:i/>
        </w:rPr>
        <w:t>Phytophthora chlamydospora</w:t>
      </w:r>
      <w:r w:rsidRPr="00804D06">
        <w:t xml:space="preserve">, </w:t>
      </w:r>
      <w:r w:rsidRPr="00804D06">
        <w:rPr>
          <w:i/>
        </w:rPr>
        <w:t>P. pseudocryptogea</w:t>
      </w:r>
      <w:r w:rsidRPr="00804D06">
        <w:t xml:space="preserve"> and </w:t>
      </w:r>
      <w:r w:rsidRPr="00804D06">
        <w:rPr>
          <w:i/>
        </w:rPr>
        <w:t>P. syringae</w:t>
      </w:r>
      <w:r w:rsidRPr="00804D06">
        <w:t xml:space="preserve">. Morphological traits, cardinal temperatures and growth rates of the isolates were described. We found considerable variation in the size of sporangia and significant difference in the mycelial growth rates of the two </w:t>
      </w:r>
      <w:r w:rsidRPr="00804D06">
        <w:rPr>
          <w:i/>
        </w:rPr>
        <w:t>P. pseudocryptogea</w:t>
      </w:r>
      <w:r w:rsidRPr="00804D06">
        <w:t xml:space="preserve"> isolates, along with multiple polymorphic sites in the ITS region of one of them. In the cases of the other two </w:t>
      </w:r>
      <w:r w:rsidRPr="00804D06">
        <w:rPr>
          <w:i/>
        </w:rPr>
        <w:t>Phytophthora species</w:t>
      </w:r>
      <w:r w:rsidRPr="00804D06">
        <w:t xml:space="preserve">, no such differences were found between the isolates. Both </w:t>
      </w:r>
      <w:r w:rsidRPr="00804D06">
        <w:rPr>
          <w:i/>
        </w:rPr>
        <w:t>P. chlamydospora</w:t>
      </w:r>
      <w:r w:rsidRPr="00804D06">
        <w:t xml:space="preserve"> isolates had a lower optimum growth temperature compared with the reported in the literature for this species. In pathogenicity tests against leaves and fruits of apple, pear, cherry, apricot and plum, the isolates proved to be capable of causing infections with varying severity. </w:t>
      </w:r>
      <w:r w:rsidRPr="00804D06">
        <w:rPr>
          <w:i/>
        </w:rPr>
        <w:t>P. chlamydospora</w:t>
      </w:r>
      <w:r w:rsidRPr="00804D06">
        <w:t xml:space="preserve"> showed to be the most aggressive towards the leaves, while </w:t>
      </w:r>
      <w:r w:rsidRPr="00804D06">
        <w:rPr>
          <w:i/>
        </w:rPr>
        <w:t>P. pseudocryptogea</w:t>
      </w:r>
      <w:r w:rsidRPr="00804D06">
        <w:t xml:space="preserve"> isolates induced the highest percentage of decay on the fruits of all tested tree species, which may suggest partial organ or tissue specificity. The demonstrated infection capacity of the described isolates points out the investigated </w:t>
      </w:r>
      <w:r w:rsidRPr="00804D06">
        <w:rPr>
          <w:i/>
        </w:rPr>
        <w:t>Phytophthora species</w:t>
      </w:r>
      <w:r w:rsidRPr="00804D06">
        <w:t xml:space="preserve"> as a potential threat for the orchards in Bulgaria, if favourable conditions are available.</w:t>
      </w:r>
    </w:p>
    <w:p w:rsidR="00BF2E1B" w:rsidRPr="00804D06" w:rsidRDefault="00BF2E1B" w:rsidP="00D23BD9">
      <w:pPr>
        <w:pStyle w:val="NormalWeb"/>
        <w:spacing w:before="0" w:beforeAutospacing="0" w:after="0" w:afterAutospacing="0" w:line="276" w:lineRule="auto"/>
        <w:jc w:val="both"/>
      </w:pPr>
    </w:p>
    <w:p w:rsidR="00BF2E1B" w:rsidRPr="00804D06" w:rsidRDefault="00BF2E1B" w:rsidP="00D23BD9">
      <w:pPr>
        <w:pStyle w:val="NormalWeb"/>
        <w:spacing w:before="0" w:beforeAutospacing="0" w:after="0" w:afterAutospacing="0" w:line="276" w:lineRule="auto"/>
        <w:jc w:val="both"/>
        <w:rPr>
          <w:lang w:val="bg-BG"/>
        </w:rPr>
      </w:pPr>
      <w:r w:rsidRPr="00804D06">
        <w:rPr>
          <w:lang w:val="bg-BG"/>
        </w:rPr>
        <w:t>Характеризиране и патогенност на три вида Phytophthora, изолирани от реки в България</w:t>
      </w:r>
    </w:p>
    <w:p w:rsidR="00BF2E1B" w:rsidRPr="00804D06" w:rsidRDefault="00BF2E1B" w:rsidP="00D23BD9">
      <w:pPr>
        <w:pStyle w:val="NormalWeb"/>
        <w:spacing w:before="0" w:beforeAutospacing="0" w:after="0" w:afterAutospacing="0" w:line="276" w:lineRule="auto"/>
        <w:jc w:val="both"/>
        <w:rPr>
          <w:lang w:val="bg-BG"/>
        </w:rPr>
      </w:pPr>
    </w:p>
    <w:p w:rsidR="00BF2E1B" w:rsidRPr="00804D06" w:rsidRDefault="00BF2E1B" w:rsidP="00D23BD9">
      <w:pPr>
        <w:pStyle w:val="NormalWeb"/>
        <w:spacing w:before="0" w:beforeAutospacing="0" w:after="0" w:afterAutospacing="0" w:line="276" w:lineRule="auto"/>
        <w:jc w:val="both"/>
        <w:rPr>
          <w:lang w:val="bg-BG"/>
        </w:rPr>
      </w:pPr>
      <w:r w:rsidRPr="00804D06">
        <w:rPr>
          <w:lang w:val="bg-BG"/>
        </w:rPr>
        <w:t>Резюме</w:t>
      </w:r>
    </w:p>
    <w:p w:rsidR="00BF2E1B" w:rsidRPr="00804D06" w:rsidRDefault="00BF2E1B" w:rsidP="00D23BD9">
      <w:pPr>
        <w:pStyle w:val="NormalWeb"/>
        <w:spacing w:before="0" w:beforeAutospacing="0" w:after="0" w:afterAutospacing="0" w:line="276" w:lineRule="auto"/>
        <w:jc w:val="both"/>
        <w:rPr>
          <w:lang w:val="bg-BG"/>
        </w:rPr>
      </w:pPr>
      <w:r w:rsidRPr="00804D06">
        <w:rPr>
          <w:lang w:val="bg-BG"/>
        </w:rPr>
        <w:t xml:space="preserve">Много видове от род </w:t>
      </w:r>
      <w:r w:rsidRPr="00804D06">
        <w:t>Phytophthora</w:t>
      </w:r>
      <w:r w:rsidRPr="00804D06">
        <w:rPr>
          <w:lang w:val="bg-BG"/>
        </w:rPr>
        <w:t xml:space="preserve"> са патогени по овощните дървета и могат да причинят разрушителни заболявания. В това изследване проучваме шест изолата </w:t>
      </w:r>
      <w:r w:rsidRPr="00804D06">
        <w:t>Phytophthora</w:t>
      </w:r>
      <w:r w:rsidRPr="00804D06">
        <w:rPr>
          <w:lang w:val="bg-BG"/>
        </w:rPr>
        <w:t xml:space="preserve">, получерни от реки в България, представители на следните три вида: </w:t>
      </w:r>
      <w:r w:rsidRPr="00804D06">
        <w:rPr>
          <w:i/>
        </w:rPr>
        <w:t>Phytophthora</w:t>
      </w:r>
      <w:r w:rsidRPr="00804D06">
        <w:rPr>
          <w:i/>
          <w:lang w:val="bg-BG"/>
        </w:rPr>
        <w:t xml:space="preserve"> </w:t>
      </w:r>
      <w:r w:rsidRPr="00804D06">
        <w:rPr>
          <w:i/>
        </w:rPr>
        <w:t>chlamydospora</w:t>
      </w:r>
      <w:r w:rsidRPr="00804D06">
        <w:rPr>
          <w:lang w:val="bg-BG"/>
        </w:rPr>
        <w:t xml:space="preserve">, </w:t>
      </w:r>
      <w:r w:rsidRPr="00804D06">
        <w:rPr>
          <w:i/>
        </w:rPr>
        <w:t>P</w:t>
      </w:r>
      <w:r w:rsidRPr="00804D06">
        <w:rPr>
          <w:i/>
          <w:lang w:val="bg-BG"/>
        </w:rPr>
        <w:t xml:space="preserve">. </w:t>
      </w:r>
      <w:r w:rsidRPr="00804D06">
        <w:rPr>
          <w:i/>
        </w:rPr>
        <w:t>pseudocryptogea</w:t>
      </w:r>
      <w:r w:rsidRPr="00804D06">
        <w:rPr>
          <w:lang w:val="bg-BG"/>
        </w:rPr>
        <w:t xml:space="preserve"> и </w:t>
      </w:r>
      <w:r w:rsidRPr="00804D06">
        <w:rPr>
          <w:i/>
        </w:rPr>
        <w:t>P</w:t>
      </w:r>
      <w:r w:rsidRPr="00804D06">
        <w:rPr>
          <w:i/>
          <w:lang w:val="bg-BG"/>
        </w:rPr>
        <w:t xml:space="preserve">. </w:t>
      </w:r>
      <w:r w:rsidRPr="00804D06">
        <w:rPr>
          <w:i/>
        </w:rPr>
        <w:t>syringae</w:t>
      </w:r>
      <w:r w:rsidRPr="00804D06">
        <w:rPr>
          <w:lang w:val="bg-BG"/>
        </w:rPr>
        <w:t xml:space="preserve">. Описани са морфологичните характеристики, кардиналните температури и скоростите на растеж на изолатите. Установихме значителни вариации в размера на спорангиите и значителна разлика в скоростите на растеж на мицела на двата изолата на </w:t>
      </w:r>
      <w:r w:rsidRPr="00804D06">
        <w:rPr>
          <w:i/>
        </w:rPr>
        <w:t>P</w:t>
      </w:r>
      <w:r w:rsidRPr="00804D06">
        <w:rPr>
          <w:i/>
          <w:lang w:val="bg-BG"/>
        </w:rPr>
        <w:t xml:space="preserve">. </w:t>
      </w:r>
      <w:r w:rsidRPr="00804D06">
        <w:rPr>
          <w:i/>
        </w:rPr>
        <w:t>pseudocryptogea</w:t>
      </w:r>
      <w:r w:rsidRPr="00804D06">
        <w:rPr>
          <w:lang w:val="bg-BG"/>
        </w:rPr>
        <w:t xml:space="preserve">, заедно с множество полиморфни места в </w:t>
      </w:r>
      <w:r w:rsidRPr="00804D06">
        <w:t>ITS</w:t>
      </w:r>
      <w:r w:rsidRPr="00804D06">
        <w:rPr>
          <w:lang w:val="bg-BG"/>
        </w:rPr>
        <w:t xml:space="preserve"> областта на единия от тях. При другите два вида </w:t>
      </w:r>
      <w:r w:rsidRPr="00804D06">
        <w:t>Phytophthora</w:t>
      </w:r>
      <w:r w:rsidRPr="00804D06">
        <w:rPr>
          <w:lang w:val="bg-BG"/>
        </w:rPr>
        <w:t xml:space="preserve"> </w:t>
      </w:r>
      <w:r w:rsidRPr="00804D06">
        <w:rPr>
          <w:lang w:val="bg-BG"/>
        </w:rPr>
        <w:lastRenderedPageBreak/>
        <w:t xml:space="preserve">подобни места не бяха открити. И двата изолата на </w:t>
      </w:r>
      <w:r w:rsidRPr="00804D06">
        <w:rPr>
          <w:i/>
        </w:rPr>
        <w:t>P</w:t>
      </w:r>
      <w:r w:rsidRPr="00804D06">
        <w:rPr>
          <w:i/>
          <w:lang w:val="bg-BG"/>
        </w:rPr>
        <w:t xml:space="preserve">. </w:t>
      </w:r>
      <w:r w:rsidRPr="00804D06">
        <w:rPr>
          <w:i/>
        </w:rPr>
        <w:t>chlamydospora</w:t>
      </w:r>
      <w:r w:rsidRPr="00804D06">
        <w:rPr>
          <w:lang w:val="bg-BG"/>
        </w:rPr>
        <w:t xml:space="preserve"> имат по-ниска оптимална температура на растеж в сравнение с докладваната в литературата за този вид. В тестове за патогенност чрез използването на листа и плодове от ябълка, круша, череша, кайсия и слива, изолатите се оказаха способни да причинят инфекции с различна тежест. </w:t>
      </w:r>
      <w:r w:rsidRPr="00804D06">
        <w:rPr>
          <w:i/>
        </w:rPr>
        <w:t>P</w:t>
      </w:r>
      <w:r w:rsidRPr="00804D06">
        <w:rPr>
          <w:i/>
          <w:lang w:val="bg-BG"/>
        </w:rPr>
        <w:t xml:space="preserve">. </w:t>
      </w:r>
      <w:r w:rsidRPr="00804D06">
        <w:rPr>
          <w:i/>
        </w:rPr>
        <w:t>chlamydospora</w:t>
      </w:r>
      <w:r w:rsidRPr="00804D06">
        <w:rPr>
          <w:lang w:val="bg-BG"/>
        </w:rPr>
        <w:t xml:space="preserve"> се оказа най-агресивен към листата, докато изолатите на </w:t>
      </w:r>
      <w:r w:rsidRPr="00804D06">
        <w:rPr>
          <w:i/>
        </w:rPr>
        <w:t>P</w:t>
      </w:r>
      <w:r w:rsidRPr="00804D06">
        <w:rPr>
          <w:i/>
          <w:lang w:val="bg-BG"/>
        </w:rPr>
        <w:t xml:space="preserve">. </w:t>
      </w:r>
      <w:r w:rsidRPr="00804D06">
        <w:rPr>
          <w:i/>
        </w:rPr>
        <w:t>pseudocryptogea</w:t>
      </w:r>
      <w:r w:rsidRPr="00804D06">
        <w:rPr>
          <w:lang w:val="bg-BG"/>
        </w:rPr>
        <w:t xml:space="preserve"> индуцираха най-висок процент на гниене по плодовете от всички тествани дървесни видове, което предполага частична органна или тъканна специфичност. Доказаният инфекциозен потенциал на описаните изолати показва, че изследваните видове </w:t>
      </w:r>
      <w:r w:rsidRPr="00804D06">
        <w:t>Phytophthora</w:t>
      </w:r>
      <w:r w:rsidRPr="00804D06">
        <w:rPr>
          <w:lang w:val="bg-BG"/>
        </w:rPr>
        <w:t xml:space="preserve"> могат да бъдат потенциална заплаха за овощните градини в България, при наличието на благоприятни за тяхното развитие условия.</w:t>
      </w:r>
    </w:p>
    <w:p w:rsidR="00BF2E1B" w:rsidRDefault="00BF2E1B" w:rsidP="00D23BD9">
      <w:pPr>
        <w:jc w:val="both"/>
        <w:rPr>
          <w:lang w:val="bg-BG"/>
        </w:rPr>
      </w:pPr>
    </w:p>
    <w:p w:rsidR="00837592" w:rsidRPr="00804D06" w:rsidRDefault="00837592" w:rsidP="00D23BD9">
      <w:pPr>
        <w:pStyle w:val="NormalWeb"/>
        <w:numPr>
          <w:ilvl w:val="0"/>
          <w:numId w:val="1"/>
        </w:numPr>
        <w:spacing w:before="0" w:beforeAutospacing="0" w:after="0" w:afterAutospacing="0" w:line="276" w:lineRule="auto"/>
        <w:jc w:val="both"/>
      </w:pPr>
      <w:r w:rsidRPr="00804D06">
        <w:t xml:space="preserve">Krogh, P.H., </w:t>
      </w:r>
      <w:r w:rsidRPr="00804D06">
        <w:rPr>
          <w:b/>
        </w:rPr>
        <w:t>Kostov, K.</w:t>
      </w:r>
      <w:r w:rsidRPr="00804D06">
        <w:t xml:space="preserve">, Damgaard, C.F. (2020) The effect of Bt crops on soil invertebrates: a systematic review and quantitative meta-analysis. Transgenic Research 29(5), 487–498. </w:t>
      </w:r>
      <w:r w:rsidRPr="00C51DA1">
        <w:rPr>
          <w:b/>
        </w:rPr>
        <w:t>(</w:t>
      </w:r>
      <w:r w:rsidR="002008A5">
        <w:rPr>
          <w:b/>
        </w:rPr>
        <w:t>Г7.</w:t>
      </w:r>
      <w:r w:rsidRPr="00C51DA1">
        <w:rPr>
          <w:b/>
        </w:rPr>
        <w:t>15)</w:t>
      </w:r>
    </w:p>
    <w:p w:rsidR="00837592" w:rsidRPr="00804D06" w:rsidRDefault="00837592" w:rsidP="00D23BD9">
      <w:pPr>
        <w:pStyle w:val="NormalWeb"/>
        <w:spacing w:before="0" w:beforeAutospacing="0" w:after="0" w:afterAutospacing="0" w:line="276" w:lineRule="auto"/>
        <w:jc w:val="both"/>
      </w:pPr>
    </w:p>
    <w:p w:rsidR="00837592" w:rsidRPr="00804D06" w:rsidRDefault="00837592" w:rsidP="00D23BD9">
      <w:pPr>
        <w:pStyle w:val="NormalWeb"/>
        <w:spacing w:before="0" w:beforeAutospacing="0" w:after="0" w:afterAutospacing="0" w:line="276" w:lineRule="auto"/>
        <w:jc w:val="both"/>
      </w:pPr>
      <w:r w:rsidRPr="00804D06">
        <w:t>The effect of Bt crops on soil invertebrates: a systematic review and quantitative meta-analysis</w:t>
      </w:r>
    </w:p>
    <w:p w:rsidR="00837592" w:rsidRPr="00804D06" w:rsidRDefault="00837592" w:rsidP="00D23BD9">
      <w:pPr>
        <w:pStyle w:val="NormalWeb"/>
        <w:spacing w:before="0" w:beforeAutospacing="0" w:after="0" w:afterAutospacing="0" w:line="276" w:lineRule="auto"/>
        <w:jc w:val="both"/>
      </w:pPr>
    </w:p>
    <w:p w:rsidR="00837592" w:rsidRPr="00804D06" w:rsidRDefault="00837592" w:rsidP="00D23BD9">
      <w:pPr>
        <w:pStyle w:val="NormalWeb"/>
        <w:spacing w:before="0" w:beforeAutospacing="0" w:after="0" w:afterAutospacing="0" w:line="276" w:lineRule="auto"/>
        <w:jc w:val="both"/>
      </w:pPr>
      <w:r w:rsidRPr="00804D06">
        <w:t>Abstract</w:t>
      </w:r>
    </w:p>
    <w:p w:rsidR="00837592" w:rsidRPr="00804D06" w:rsidRDefault="00837592" w:rsidP="00D23BD9">
      <w:pPr>
        <w:pStyle w:val="NormalWeb"/>
        <w:spacing w:before="0" w:beforeAutospacing="0" w:after="0" w:afterAutospacing="0" w:line="276" w:lineRule="auto"/>
        <w:jc w:val="both"/>
      </w:pPr>
      <w:r w:rsidRPr="00804D06">
        <w:t xml:space="preserve">The ongoing debate about the ecological effects of Bt-crops calls for thorough reviews about the impact on soil biodiversity and their ecosystem services. Transgenic Bt-crops have been genetically modified by inserting a </w:t>
      </w:r>
      <w:r w:rsidRPr="00804D06">
        <w:rPr>
          <w:i/>
        </w:rPr>
        <w:t>Bacillus thuriengensis</w:t>
      </w:r>
      <w:r w:rsidRPr="00804D06">
        <w:t xml:space="preserve"> gene so the plant expresses a Cry toxin aimed for insect crop pests. Non-target soil invertebrates are particularly recognized for their contribution to plant nutrient availability and turnover of organic matter and it is therefore relevant to protect these invertebrate taxa. A number of studies have compared the population abundance and biomass of soil invertebrates in agricultural fields planted with genetically modified Bt crops and their conventional counterparts. Here, were review and analyze a selection of studies on Protista, nematodes, Collembola, mites, enchytraeids, and earthworms systematically to empower the evidence for asking the question whether population abundances and biomasses of soil invertebrates are changed by Bt crops compared to conventional crops. 6110 titles were captured, of which 38 studies passed our inclusion criteria, and a final number of 22 publications were subject to data extraction. A database with 2046 records was compiled covering 36 locations and the Bt types Cry1Ab, Cry1Ac, Cry3Bb1 and Cry3Aa. Comparative effect sizes in terms of Hedges’ g were calculated irrespectively of statistical significance of effects of the source studies. Cry effects on populations were compared across the studies in a meta-analysis employing a hierarchical Bayesian approach of weighted data according to the level of replication. The temporal development of effect sizes was modelled, thereby taking into account the variable duration of the field experiments. There was considerable variation among soil invertebrate orders, but the sample size was insufficient and the sample heterogeneity too large to draw any credible conclusions on the effect of Cry at the order level. However, across orders there was no significant effect of Cry on soil invertebrates.</w:t>
      </w:r>
    </w:p>
    <w:p w:rsidR="00837592" w:rsidRPr="00804D06" w:rsidRDefault="00837592" w:rsidP="00D23BD9">
      <w:pPr>
        <w:pStyle w:val="NormalWeb"/>
        <w:spacing w:before="0" w:beforeAutospacing="0" w:after="0" w:afterAutospacing="0" w:line="276" w:lineRule="auto"/>
        <w:jc w:val="both"/>
      </w:pPr>
    </w:p>
    <w:p w:rsidR="00837592" w:rsidRPr="00804D06" w:rsidRDefault="00837592" w:rsidP="00D23BD9">
      <w:pPr>
        <w:pStyle w:val="NormalWeb"/>
        <w:spacing w:before="0" w:beforeAutospacing="0" w:after="0" w:afterAutospacing="0" w:line="276" w:lineRule="auto"/>
        <w:jc w:val="both"/>
        <w:rPr>
          <w:lang w:val="bg-BG"/>
        </w:rPr>
      </w:pPr>
      <w:r w:rsidRPr="00804D06">
        <w:rPr>
          <w:lang w:val="bg-BG"/>
        </w:rPr>
        <w:t>Влияние на Bt културите върху почвените безгръбначни: систематично ревю и количествен мета-анализ</w:t>
      </w:r>
    </w:p>
    <w:p w:rsidR="00837592" w:rsidRPr="00804D06" w:rsidRDefault="00837592" w:rsidP="00D23BD9">
      <w:pPr>
        <w:pStyle w:val="NormalWeb"/>
        <w:spacing w:before="0" w:beforeAutospacing="0" w:after="0" w:afterAutospacing="0" w:line="276" w:lineRule="auto"/>
        <w:jc w:val="both"/>
        <w:rPr>
          <w:lang w:val="bg-BG"/>
        </w:rPr>
      </w:pPr>
    </w:p>
    <w:p w:rsidR="00837592" w:rsidRPr="00804D06" w:rsidRDefault="00837592" w:rsidP="00D23BD9">
      <w:pPr>
        <w:pStyle w:val="NormalWeb"/>
        <w:spacing w:before="0" w:beforeAutospacing="0" w:after="0" w:afterAutospacing="0" w:line="276" w:lineRule="auto"/>
        <w:jc w:val="both"/>
        <w:rPr>
          <w:lang w:val="bg-BG"/>
        </w:rPr>
      </w:pPr>
      <w:r w:rsidRPr="00804D06">
        <w:rPr>
          <w:lang w:val="bg-BG"/>
        </w:rPr>
        <w:t>Резюме</w:t>
      </w:r>
    </w:p>
    <w:p w:rsidR="00837592" w:rsidRPr="00804D06" w:rsidRDefault="00837592" w:rsidP="00D23BD9">
      <w:pPr>
        <w:pStyle w:val="NormalWeb"/>
        <w:spacing w:before="0" w:beforeAutospacing="0" w:after="0" w:afterAutospacing="0" w:line="276" w:lineRule="auto"/>
        <w:jc w:val="both"/>
        <w:rPr>
          <w:lang w:val="bg-BG"/>
        </w:rPr>
      </w:pPr>
      <w:r w:rsidRPr="00804D06">
        <w:rPr>
          <w:lang w:val="bg-BG"/>
        </w:rPr>
        <w:t xml:space="preserve">Продължаващият дебат относно екологичните ефекти на </w:t>
      </w:r>
      <w:r w:rsidRPr="00804D06">
        <w:t>Bt</w:t>
      </w:r>
      <w:r w:rsidRPr="00804D06">
        <w:rPr>
          <w:lang w:val="bg-BG"/>
        </w:rPr>
        <w:t xml:space="preserve">-културите изисква задълбочен преглед на въздействието върху почвеното биоразнообразие и свързаните с него екосистемни услуги. Трансгенните </w:t>
      </w:r>
      <w:r w:rsidRPr="00804D06">
        <w:t>Bt</w:t>
      </w:r>
      <w:r w:rsidRPr="00804D06">
        <w:rPr>
          <w:lang w:val="bg-BG"/>
        </w:rPr>
        <w:t xml:space="preserve">-култури са генетично модифицирани чрез вмъкване на ген от бактерията </w:t>
      </w:r>
      <w:r w:rsidRPr="00804D06">
        <w:rPr>
          <w:i/>
        </w:rPr>
        <w:t>Bacillus</w:t>
      </w:r>
      <w:r w:rsidRPr="00804D06">
        <w:rPr>
          <w:i/>
          <w:lang w:val="bg-BG"/>
        </w:rPr>
        <w:t xml:space="preserve"> </w:t>
      </w:r>
      <w:r w:rsidRPr="00804D06">
        <w:rPr>
          <w:i/>
        </w:rPr>
        <w:t>thuriengensis</w:t>
      </w:r>
      <w:r w:rsidRPr="00804D06">
        <w:rPr>
          <w:lang w:val="bg-BG"/>
        </w:rPr>
        <w:t xml:space="preserve">, така че растението експресира </w:t>
      </w:r>
      <w:r w:rsidRPr="00804D06">
        <w:t>Cry</w:t>
      </w:r>
      <w:r w:rsidRPr="00804D06">
        <w:rPr>
          <w:lang w:val="bg-BG"/>
        </w:rPr>
        <w:t xml:space="preserve"> токсин, насочен към насекомнии вредители по културните растения. Почвените безгръбначни са нецелеви организми признати за големият си принос към наличието на хранителни вещества за растенията и кръговрата на органичната материя, и съответно предпазването на тези таксони е от изключителна важност. Редица проучвания сравняват числеността на популациите и биомасата на почвените безгръбначни в земеделски полета, заети от генетично модифицирани </w:t>
      </w:r>
      <w:r w:rsidRPr="00804D06">
        <w:t>Bt</w:t>
      </w:r>
      <w:r w:rsidRPr="00804D06">
        <w:rPr>
          <w:lang w:val="bg-BG"/>
        </w:rPr>
        <w:t xml:space="preserve">-култури и техните конвенционални аналози. Тук ние правим преглед и анализ на набор от проучвания относно безгръбначни организми принадлежащи към </w:t>
      </w:r>
      <w:r w:rsidRPr="00804D06">
        <w:t>Protista</w:t>
      </w:r>
      <w:r w:rsidRPr="00804D06">
        <w:rPr>
          <w:lang w:val="bg-BG"/>
        </w:rPr>
        <w:t xml:space="preserve">, </w:t>
      </w:r>
      <w:r w:rsidRPr="00804D06">
        <w:t>Nematoda</w:t>
      </w:r>
      <w:r w:rsidRPr="00804D06">
        <w:rPr>
          <w:lang w:val="bg-BG"/>
        </w:rPr>
        <w:t xml:space="preserve">, </w:t>
      </w:r>
      <w:r w:rsidRPr="00804D06">
        <w:t>Collembola</w:t>
      </w:r>
      <w:r w:rsidRPr="00804D06">
        <w:rPr>
          <w:lang w:val="bg-BG"/>
        </w:rPr>
        <w:t xml:space="preserve">, </w:t>
      </w:r>
      <w:r w:rsidRPr="00804D06">
        <w:t>Acari</w:t>
      </w:r>
      <w:r w:rsidRPr="00804D06">
        <w:rPr>
          <w:lang w:val="bg-BG"/>
        </w:rPr>
        <w:t xml:space="preserve">, </w:t>
      </w:r>
      <w:r w:rsidRPr="00804D06">
        <w:t>Enchytraeidae</w:t>
      </w:r>
      <w:r w:rsidRPr="00804D06">
        <w:rPr>
          <w:lang w:val="bg-BG"/>
        </w:rPr>
        <w:t xml:space="preserve"> и земни червеи, за да се подсилят доказателствата в отговор на въпроса дали числеността на популациите и биомасата на почвените безгръбначни се променят от </w:t>
      </w:r>
      <w:r w:rsidRPr="00804D06">
        <w:t>Bt</w:t>
      </w:r>
      <w:r w:rsidRPr="00804D06">
        <w:rPr>
          <w:lang w:val="bg-BG"/>
        </w:rPr>
        <w:t xml:space="preserve"> културите в сравнение с конвенционалните култури. Събрани са 6110 заглавия, от които 38 изследвания отговаряха на критериите за включване в анализа, а данните бяха извлечени окончателно от 22 публикации. Съставена е база данни с 2046 записа, обхващаща 36 местоположения и различни </w:t>
      </w:r>
      <w:r w:rsidRPr="00804D06">
        <w:t>Bt</w:t>
      </w:r>
      <w:r w:rsidRPr="00804D06">
        <w:rPr>
          <w:lang w:val="bg-BG"/>
        </w:rPr>
        <w:t xml:space="preserve"> протеини - </w:t>
      </w:r>
      <w:r w:rsidRPr="00804D06">
        <w:t>Cry</w:t>
      </w:r>
      <w:r w:rsidRPr="00804D06">
        <w:rPr>
          <w:lang w:val="bg-BG"/>
        </w:rPr>
        <w:t>1</w:t>
      </w:r>
      <w:r w:rsidRPr="00804D06">
        <w:t>Ab</w:t>
      </w:r>
      <w:r w:rsidRPr="00804D06">
        <w:rPr>
          <w:lang w:val="bg-BG"/>
        </w:rPr>
        <w:t xml:space="preserve">, </w:t>
      </w:r>
      <w:r w:rsidRPr="00804D06">
        <w:t>Cry</w:t>
      </w:r>
      <w:r w:rsidRPr="00804D06">
        <w:rPr>
          <w:lang w:val="bg-BG"/>
        </w:rPr>
        <w:t>1</w:t>
      </w:r>
      <w:r w:rsidRPr="00804D06">
        <w:t>Ac</w:t>
      </w:r>
      <w:r w:rsidRPr="00804D06">
        <w:rPr>
          <w:lang w:val="bg-BG"/>
        </w:rPr>
        <w:t xml:space="preserve">, </w:t>
      </w:r>
      <w:r w:rsidRPr="00804D06">
        <w:t>Cry</w:t>
      </w:r>
      <w:r w:rsidRPr="00804D06">
        <w:rPr>
          <w:lang w:val="bg-BG"/>
        </w:rPr>
        <w:t>3</w:t>
      </w:r>
      <w:r w:rsidRPr="00804D06">
        <w:t>Bb</w:t>
      </w:r>
      <w:r w:rsidRPr="00804D06">
        <w:rPr>
          <w:lang w:val="bg-BG"/>
        </w:rPr>
        <w:t xml:space="preserve">1 и </w:t>
      </w:r>
      <w:r w:rsidRPr="00804D06">
        <w:t>Cry</w:t>
      </w:r>
      <w:r w:rsidRPr="00804D06">
        <w:rPr>
          <w:lang w:val="bg-BG"/>
        </w:rPr>
        <w:t>3</w:t>
      </w:r>
      <w:r w:rsidRPr="00804D06">
        <w:t>Aa</w:t>
      </w:r>
      <w:r w:rsidRPr="00804D06">
        <w:rPr>
          <w:lang w:val="bg-BG"/>
        </w:rPr>
        <w:t xml:space="preserve">. Сравнителната големина на ефектите, изразени като </w:t>
      </w:r>
      <w:r w:rsidRPr="00804D06">
        <w:t>Hedges</w:t>
      </w:r>
      <w:r w:rsidRPr="00804D06">
        <w:rPr>
          <w:lang w:val="bg-BG"/>
        </w:rPr>
        <w:t xml:space="preserve">’ </w:t>
      </w:r>
      <w:r w:rsidRPr="00804D06">
        <w:t>g</w:t>
      </w:r>
      <w:r w:rsidRPr="00804D06">
        <w:rPr>
          <w:lang w:val="bg-BG"/>
        </w:rPr>
        <w:t xml:space="preserve">, бяха изчислени независимо от статистическата значимост на ефектите от изходните изследвания. Ефектите на </w:t>
      </w:r>
      <w:r w:rsidRPr="00804D06">
        <w:t>Cry</w:t>
      </w:r>
      <w:r w:rsidRPr="00804D06">
        <w:rPr>
          <w:lang w:val="bg-BG"/>
        </w:rPr>
        <w:t xml:space="preserve"> протеина върху популациите между различните изследвания бяха сравнени чрез мета-анализ, използващ йерархичен байесов подход съизмеримо според нивото на повторенията. В моделът за </w:t>
      </w:r>
      <w:r w:rsidR="002D76F2" w:rsidRPr="00804D06">
        <w:rPr>
          <w:lang w:val="bg-BG"/>
        </w:rPr>
        <w:t>сравнение</w:t>
      </w:r>
      <w:r w:rsidRPr="00804D06">
        <w:rPr>
          <w:lang w:val="bg-BG"/>
        </w:rPr>
        <w:t xml:space="preserve"> на големината на ефектите бе включен факторът време, като по този начин се взема предвид променливата продължителност на полевите експерименти. Установени са значителни вариации между отделните разреди почвени безгръбначни, но размерът на извадката вътре в тях е недостатъчен, а хетерогенността твърде голяма, за да се направят достоверни заключения за ефекта на </w:t>
      </w:r>
      <w:r w:rsidRPr="00804D06">
        <w:t>Cry</w:t>
      </w:r>
      <w:r w:rsidRPr="00804D06">
        <w:rPr>
          <w:lang w:val="bg-BG"/>
        </w:rPr>
        <w:t xml:space="preserve"> на ниво разред. Гледани между разредите обаче резултатите показват, че </w:t>
      </w:r>
      <w:r w:rsidRPr="00804D06">
        <w:t>Cry</w:t>
      </w:r>
      <w:r w:rsidRPr="00804D06">
        <w:rPr>
          <w:lang w:val="bg-BG"/>
        </w:rPr>
        <w:t xml:space="preserve"> протеина не оказва значим ефект върху почвените безгръбначни.</w:t>
      </w:r>
    </w:p>
    <w:p w:rsidR="00837592" w:rsidRDefault="00837592" w:rsidP="00D23BD9">
      <w:pPr>
        <w:jc w:val="both"/>
        <w:rPr>
          <w:lang w:val="bg-BG"/>
        </w:rPr>
      </w:pPr>
    </w:p>
    <w:p w:rsidR="00FC0D0C" w:rsidRPr="00804D06" w:rsidRDefault="00FC0D0C" w:rsidP="00D23BD9">
      <w:pPr>
        <w:pStyle w:val="NormalWeb"/>
        <w:numPr>
          <w:ilvl w:val="0"/>
          <w:numId w:val="1"/>
        </w:numPr>
        <w:spacing w:before="0" w:beforeAutospacing="0" w:after="0" w:afterAutospacing="0" w:line="276" w:lineRule="auto"/>
        <w:jc w:val="both"/>
      </w:pPr>
      <w:r w:rsidRPr="00804D06">
        <w:t xml:space="preserve">Kostov, K., Andonova-Lilova, B., Smagghe, G. (2022) Inhibitory activity of carbon quantum dots against </w:t>
      </w:r>
      <w:r w:rsidRPr="00804D06">
        <w:rPr>
          <w:i/>
        </w:rPr>
        <w:t>Phytophthora infestans</w:t>
      </w:r>
      <w:r w:rsidRPr="00804D06">
        <w:t xml:space="preserve"> and fungal plant pathogens and their effect on dsRNA-induced gene silencing. Biotechnology &amp; Biotechnological Equipment 36(1), 949–959. </w:t>
      </w:r>
      <w:r w:rsidRPr="00C51DA1">
        <w:rPr>
          <w:b/>
        </w:rPr>
        <w:t>(</w:t>
      </w:r>
      <w:r w:rsidR="002008A5">
        <w:rPr>
          <w:b/>
        </w:rPr>
        <w:t>Г7.</w:t>
      </w:r>
      <w:r w:rsidRPr="00C51DA1">
        <w:rPr>
          <w:b/>
        </w:rPr>
        <w:t>16)</w:t>
      </w:r>
    </w:p>
    <w:p w:rsidR="00FC0D0C" w:rsidRPr="00804D06" w:rsidRDefault="00FC0D0C" w:rsidP="00D23BD9">
      <w:pPr>
        <w:pStyle w:val="NormalWeb"/>
        <w:spacing w:before="0" w:beforeAutospacing="0" w:after="0" w:afterAutospacing="0" w:line="276" w:lineRule="auto"/>
        <w:ind w:left="360"/>
        <w:jc w:val="both"/>
        <w:rPr>
          <w:b/>
        </w:rPr>
      </w:pPr>
    </w:p>
    <w:p w:rsidR="00FC0D0C" w:rsidRPr="00804D06" w:rsidRDefault="00FC0D0C" w:rsidP="00D23BD9">
      <w:pPr>
        <w:pStyle w:val="NormalWeb"/>
        <w:spacing w:before="0" w:beforeAutospacing="0" w:after="0" w:afterAutospacing="0" w:line="276" w:lineRule="auto"/>
        <w:jc w:val="both"/>
      </w:pPr>
      <w:r w:rsidRPr="00804D06">
        <w:lastRenderedPageBreak/>
        <w:t xml:space="preserve">Inhibitory activity of carbon quantum dots against </w:t>
      </w:r>
      <w:r w:rsidRPr="00804D06">
        <w:rPr>
          <w:i/>
        </w:rPr>
        <w:t>Phytophthora infestans</w:t>
      </w:r>
      <w:r w:rsidRPr="00804D06">
        <w:t xml:space="preserve"> and fungal plant pathogens and their effect on dsRNA-induced gene silencing</w:t>
      </w:r>
    </w:p>
    <w:p w:rsidR="00FC0D0C" w:rsidRPr="00804D06" w:rsidRDefault="00FC0D0C" w:rsidP="00D23BD9">
      <w:pPr>
        <w:pStyle w:val="NormalWeb"/>
        <w:spacing w:before="0" w:beforeAutospacing="0" w:after="0" w:afterAutospacing="0" w:line="276" w:lineRule="auto"/>
        <w:ind w:left="360"/>
        <w:jc w:val="both"/>
      </w:pPr>
    </w:p>
    <w:p w:rsidR="00FC0D0C" w:rsidRPr="00804D06" w:rsidRDefault="00FC0D0C" w:rsidP="00D23BD9">
      <w:pPr>
        <w:pStyle w:val="NormalWeb"/>
        <w:spacing w:before="0" w:beforeAutospacing="0" w:after="0" w:afterAutospacing="0" w:line="276" w:lineRule="auto"/>
        <w:jc w:val="both"/>
      </w:pPr>
      <w:r w:rsidRPr="00804D06">
        <w:t>Abstract</w:t>
      </w:r>
    </w:p>
    <w:p w:rsidR="00FC0D0C" w:rsidRPr="00804D06" w:rsidRDefault="00FC0D0C" w:rsidP="00D23BD9">
      <w:pPr>
        <w:pStyle w:val="NormalWeb"/>
        <w:spacing w:before="0" w:beforeAutospacing="0" w:after="0" w:afterAutospacing="0" w:line="276" w:lineRule="auto"/>
        <w:jc w:val="both"/>
      </w:pPr>
      <w:r w:rsidRPr="00804D06">
        <w:t xml:space="preserve">Carbon quantum dots (CQDs) have many potential applications due to their cell-penetrating ability, biocompatibility and tunable properties. Among a variety of characteristics, the inhibition of bacteria by CQDs is often reported. However, the effect on other microorganisms, such as plant pathogenic fungi and oomycetes, is poorly studied. Here we monitored the growth of the oomycete plant pathogen </w:t>
      </w:r>
      <w:r w:rsidRPr="00804D06">
        <w:rPr>
          <w:i/>
        </w:rPr>
        <w:t>Phytophthora infestans</w:t>
      </w:r>
      <w:r w:rsidRPr="00804D06">
        <w:t xml:space="preserve"> in the presence of CQDs, as well as of another three fungal plant pathogens, namely </w:t>
      </w:r>
      <w:r w:rsidRPr="00804D06">
        <w:rPr>
          <w:i/>
        </w:rPr>
        <w:t>Botrytis cinerea</w:t>
      </w:r>
      <w:r w:rsidRPr="00804D06">
        <w:t xml:space="preserve">, </w:t>
      </w:r>
      <w:r w:rsidRPr="00804D06">
        <w:rPr>
          <w:i/>
        </w:rPr>
        <w:t>Alternaria alternata</w:t>
      </w:r>
      <w:r w:rsidRPr="00804D06">
        <w:t xml:space="preserve"> and </w:t>
      </w:r>
      <w:r w:rsidRPr="00804D06">
        <w:rPr>
          <w:i/>
        </w:rPr>
        <w:t>Fusarium oxysporum</w:t>
      </w:r>
      <w:r w:rsidRPr="00804D06">
        <w:t xml:space="preserve">. Moreover, the ability of CQDs to improve gene silencing caused by exogenous dsRNA in </w:t>
      </w:r>
      <w:r w:rsidRPr="00804D06">
        <w:rPr>
          <w:i/>
        </w:rPr>
        <w:t>P. infestans</w:t>
      </w:r>
      <w:r w:rsidRPr="00804D06">
        <w:t xml:space="preserve"> was studied, and the toxicity of CQDs to human keratinocytes was evaluated. Our results indicate significant inhibitory activity of CQDs against </w:t>
      </w:r>
      <w:r w:rsidRPr="00804D06">
        <w:rPr>
          <w:i/>
        </w:rPr>
        <w:t>P. infestans</w:t>
      </w:r>
      <w:r w:rsidRPr="00804D06">
        <w:t xml:space="preserve"> at relatively low concentrations. In a species-specific manner and to a lesser extent, the growth of the three fungal plant pathogens was also affected. We also found that the treatment of </w:t>
      </w:r>
      <w:r w:rsidRPr="00804D06">
        <w:rPr>
          <w:i/>
        </w:rPr>
        <w:t>P. infestans</w:t>
      </w:r>
      <w:r w:rsidRPr="00804D06">
        <w:t xml:space="preserve"> with naked dsRNA in vitro did not trigger gene silencing. However, the mixture of CQDs with dsRNA increased RNAi efficiency, by causing a significant reduction of the transcript levels of the target gene in developing sporangia. Finally, no cytotoxicity of the CQDs, in the concentrations active against the plant pathogens, was found.</w:t>
      </w:r>
    </w:p>
    <w:p w:rsidR="00FC0D0C" w:rsidRPr="00804D06" w:rsidRDefault="00FC0D0C" w:rsidP="00D23BD9">
      <w:pPr>
        <w:pStyle w:val="NormalWeb"/>
        <w:spacing w:before="0" w:beforeAutospacing="0" w:after="0" w:afterAutospacing="0" w:line="276" w:lineRule="auto"/>
        <w:ind w:left="360"/>
        <w:jc w:val="both"/>
      </w:pPr>
    </w:p>
    <w:p w:rsidR="00FC0D0C" w:rsidRPr="00804D06" w:rsidRDefault="00FC0D0C" w:rsidP="00D23BD9">
      <w:pPr>
        <w:pStyle w:val="NormalWeb"/>
        <w:spacing w:before="0" w:beforeAutospacing="0" w:after="0" w:afterAutospacing="0" w:line="276" w:lineRule="auto"/>
        <w:jc w:val="both"/>
        <w:rPr>
          <w:lang w:val="bg-BG"/>
        </w:rPr>
      </w:pPr>
      <w:r w:rsidRPr="00804D06">
        <w:t xml:space="preserve">Инхибиторна активност на въглеродни квантови точки срещу </w:t>
      </w:r>
      <w:r w:rsidRPr="00804D06">
        <w:rPr>
          <w:i/>
        </w:rPr>
        <w:t>Phytophthora infestans</w:t>
      </w:r>
      <w:r w:rsidRPr="00804D06">
        <w:t xml:space="preserve"> и гъбни растителни патогени и техният ефект върху индуцираното от dsRNA заглушаване на гени</w:t>
      </w:r>
    </w:p>
    <w:p w:rsidR="00FC0D0C" w:rsidRPr="00804D06" w:rsidRDefault="00FC0D0C" w:rsidP="00D23BD9">
      <w:pPr>
        <w:pStyle w:val="NormalWeb"/>
        <w:spacing w:before="0" w:beforeAutospacing="0" w:after="0" w:afterAutospacing="0" w:line="276" w:lineRule="auto"/>
        <w:ind w:left="360"/>
        <w:jc w:val="both"/>
        <w:rPr>
          <w:lang w:val="bg-BG"/>
        </w:rPr>
      </w:pPr>
    </w:p>
    <w:p w:rsidR="00FC0D0C" w:rsidRPr="00804D06" w:rsidRDefault="00FC0D0C" w:rsidP="00D23BD9">
      <w:pPr>
        <w:pStyle w:val="NormalWeb"/>
        <w:spacing w:before="0" w:beforeAutospacing="0" w:after="0" w:afterAutospacing="0" w:line="276" w:lineRule="auto"/>
        <w:jc w:val="both"/>
        <w:rPr>
          <w:lang w:val="bg-BG"/>
        </w:rPr>
      </w:pPr>
      <w:r w:rsidRPr="00804D06">
        <w:rPr>
          <w:lang w:val="bg-BG"/>
        </w:rPr>
        <w:t>Резюме</w:t>
      </w:r>
    </w:p>
    <w:p w:rsidR="00FC0D0C" w:rsidRPr="00804D06" w:rsidRDefault="00FC0D0C" w:rsidP="00D23BD9">
      <w:pPr>
        <w:pStyle w:val="NormalWeb"/>
        <w:spacing w:before="0" w:beforeAutospacing="0" w:after="0" w:afterAutospacing="0" w:line="276" w:lineRule="auto"/>
        <w:jc w:val="both"/>
        <w:rPr>
          <w:lang w:val="bg-BG"/>
        </w:rPr>
      </w:pPr>
      <w:r w:rsidRPr="00804D06">
        <w:rPr>
          <w:lang w:val="bg-BG"/>
        </w:rPr>
        <w:t>Въглеродните квантови точки (</w:t>
      </w:r>
      <w:r w:rsidRPr="00804D06">
        <w:t>CQDs</w:t>
      </w:r>
      <w:r w:rsidRPr="00804D06">
        <w:rPr>
          <w:lang w:val="bg-BG"/>
        </w:rPr>
        <w:t xml:space="preserve">) имат много потенциални приложения поради способността им да проникват в клетките, биосъвместимостта и контролируемите им свойства. Между различните характеристики на </w:t>
      </w:r>
      <w:r w:rsidRPr="00804D06">
        <w:t>CQDs</w:t>
      </w:r>
      <w:r w:rsidRPr="00804D06">
        <w:rPr>
          <w:lang w:val="bg-BG"/>
        </w:rPr>
        <w:t xml:space="preserve">, често се съобщава за способността им да инхибират растежа на бактерии. Ефектът върху други микроорганизми, като растителни патогенни гъби и оомицети, обаче е слабо проучен. В това изследване наблюдаваме растежа на оомицетния растителен патоген </w:t>
      </w:r>
      <w:r w:rsidRPr="00804D06">
        <w:rPr>
          <w:i/>
        </w:rPr>
        <w:t>Phytophthora</w:t>
      </w:r>
      <w:r w:rsidRPr="00804D06">
        <w:rPr>
          <w:i/>
          <w:lang w:val="bg-BG"/>
        </w:rPr>
        <w:t xml:space="preserve"> </w:t>
      </w:r>
      <w:r w:rsidRPr="00804D06">
        <w:rPr>
          <w:i/>
        </w:rPr>
        <w:t>infestans</w:t>
      </w:r>
      <w:r w:rsidRPr="00804D06">
        <w:rPr>
          <w:lang w:val="bg-BG"/>
        </w:rPr>
        <w:t xml:space="preserve"> в присъствието на </w:t>
      </w:r>
      <w:r w:rsidRPr="00804D06">
        <w:t>CQDs</w:t>
      </w:r>
      <w:r w:rsidRPr="00804D06">
        <w:rPr>
          <w:lang w:val="bg-BG"/>
        </w:rPr>
        <w:t xml:space="preserve">, както и на други три гъбни патогена, а именно </w:t>
      </w:r>
      <w:r w:rsidRPr="00804D06">
        <w:rPr>
          <w:i/>
        </w:rPr>
        <w:t>Botrytis</w:t>
      </w:r>
      <w:r w:rsidRPr="00804D06">
        <w:rPr>
          <w:i/>
          <w:lang w:val="bg-BG"/>
        </w:rPr>
        <w:t xml:space="preserve"> </w:t>
      </w:r>
      <w:r w:rsidRPr="00804D06">
        <w:rPr>
          <w:i/>
        </w:rPr>
        <w:t>cinerea</w:t>
      </w:r>
      <w:r w:rsidRPr="00804D06">
        <w:rPr>
          <w:lang w:val="bg-BG"/>
        </w:rPr>
        <w:t xml:space="preserve">, </w:t>
      </w:r>
      <w:r w:rsidRPr="00804D06">
        <w:rPr>
          <w:i/>
        </w:rPr>
        <w:t>Alternaria</w:t>
      </w:r>
      <w:r w:rsidRPr="00804D06">
        <w:rPr>
          <w:i/>
          <w:lang w:val="bg-BG"/>
        </w:rPr>
        <w:t xml:space="preserve"> </w:t>
      </w:r>
      <w:r w:rsidRPr="00804D06">
        <w:rPr>
          <w:i/>
        </w:rPr>
        <w:t>alternata</w:t>
      </w:r>
      <w:r w:rsidRPr="00804D06">
        <w:rPr>
          <w:lang w:val="bg-BG"/>
        </w:rPr>
        <w:t xml:space="preserve"> и </w:t>
      </w:r>
      <w:r w:rsidRPr="00804D06">
        <w:rPr>
          <w:i/>
        </w:rPr>
        <w:t>Fusarium</w:t>
      </w:r>
      <w:r w:rsidRPr="00804D06">
        <w:rPr>
          <w:i/>
          <w:lang w:val="bg-BG"/>
        </w:rPr>
        <w:t xml:space="preserve"> </w:t>
      </w:r>
      <w:r w:rsidRPr="00804D06">
        <w:rPr>
          <w:i/>
        </w:rPr>
        <w:t>oxysporum</w:t>
      </w:r>
      <w:r w:rsidRPr="00804D06">
        <w:rPr>
          <w:lang w:val="bg-BG"/>
        </w:rPr>
        <w:t xml:space="preserve">. Освен това, е изследвана способността на </w:t>
      </w:r>
      <w:r w:rsidRPr="00804D06">
        <w:t>CQDs</w:t>
      </w:r>
      <w:r w:rsidRPr="00804D06">
        <w:rPr>
          <w:lang w:val="bg-BG"/>
        </w:rPr>
        <w:t xml:space="preserve"> да подобрят заглушаването на гени, предизвикано от външно приложение на </w:t>
      </w:r>
      <w:r w:rsidRPr="00804D06">
        <w:t>dsRNA</w:t>
      </w:r>
      <w:r w:rsidRPr="00804D06">
        <w:rPr>
          <w:lang w:val="bg-BG"/>
        </w:rPr>
        <w:t xml:space="preserve"> в </w:t>
      </w:r>
      <w:r w:rsidRPr="00804D06">
        <w:rPr>
          <w:i/>
        </w:rPr>
        <w:t>P</w:t>
      </w:r>
      <w:r w:rsidRPr="00804D06">
        <w:rPr>
          <w:i/>
          <w:lang w:val="bg-BG"/>
        </w:rPr>
        <w:t xml:space="preserve">. </w:t>
      </w:r>
      <w:r w:rsidRPr="00804D06">
        <w:rPr>
          <w:i/>
        </w:rPr>
        <w:t>infestans</w:t>
      </w:r>
      <w:r w:rsidRPr="00804D06">
        <w:rPr>
          <w:lang w:val="bg-BG"/>
        </w:rPr>
        <w:t xml:space="preserve">, и е оценена токсичността на </w:t>
      </w:r>
      <w:r w:rsidRPr="00804D06">
        <w:t>CQDs</w:t>
      </w:r>
      <w:r w:rsidRPr="00804D06">
        <w:rPr>
          <w:lang w:val="bg-BG"/>
        </w:rPr>
        <w:t xml:space="preserve"> върху човешки кератиноцити. Нашите резултати показват значителна инхибиторна активност на </w:t>
      </w:r>
      <w:r w:rsidRPr="00804D06">
        <w:t>CQDs</w:t>
      </w:r>
      <w:r w:rsidRPr="00804D06">
        <w:rPr>
          <w:lang w:val="bg-BG"/>
        </w:rPr>
        <w:t xml:space="preserve"> срещу </w:t>
      </w:r>
      <w:r w:rsidRPr="00804D06">
        <w:rPr>
          <w:i/>
        </w:rPr>
        <w:t>P</w:t>
      </w:r>
      <w:r w:rsidRPr="00804D06">
        <w:rPr>
          <w:i/>
          <w:lang w:val="bg-BG"/>
        </w:rPr>
        <w:t xml:space="preserve">. </w:t>
      </w:r>
      <w:r w:rsidRPr="00804D06">
        <w:rPr>
          <w:i/>
        </w:rPr>
        <w:t>infestans</w:t>
      </w:r>
      <w:r w:rsidRPr="00804D06">
        <w:rPr>
          <w:lang w:val="bg-BG"/>
        </w:rPr>
        <w:t xml:space="preserve"> при относително ниски концентрации. По видово-специфичен начин и в по-малка степен, растежът на трите гъбни растителни патогена също беше засегнат. Установихме също, че чиста </w:t>
      </w:r>
      <w:r w:rsidRPr="00804D06">
        <w:t>dsRNA</w:t>
      </w:r>
      <w:r w:rsidRPr="00804D06">
        <w:rPr>
          <w:lang w:val="bg-BG"/>
        </w:rPr>
        <w:t xml:space="preserve"> е неспособна да предизвика заглушаване на гени на </w:t>
      </w:r>
      <w:r w:rsidRPr="00804D06">
        <w:rPr>
          <w:i/>
        </w:rPr>
        <w:t>P</w:t>
      </w:r>
      <w:r w:rsidRPr="00804D06">
        <w:rPr>
          <w:i/>
          <w:lang w:val="bg-BG"/>
        </w:rPr>
        <w:t xml:space="preserve">. </w:t>
      </w:r>
      <w:r w:rsidRPr="00804D06">
        <w:rPr>
          <w:i/>
        </w:rPr>
        <w:t>infestans</w:t>
      </w:r>
      <w:r w:rsidRPr="00804D06">
        <w:rPr>
          <w:lang w:val="bg-BG"/>
        </w:rPr>
        <w:t xml:space="preserve"> </w:t>
      </w:r>
      <w:r w:rsidRPr="00804D06">
        <w:t>in</w:t>
      </w:r>
      <w:r w:rsidRPr="00804D06">
        <w:rPr>
          <w:lang w:val="bg-BG"/>
        </w:rPr>
        <w:t xml:space="preserve"> </w:t>
      </w:r>
      <w:r w:rsidRPr="00804D06">
        <w:t>vitro</w:t>
      </w:r>
      <w:r w:rsidRPr="00804D06">
        <w:rPr>
          <w:lang w:val="bg-BG"/>
        </w:rPr>
        <w:t xml:space="preserve">, докато смесването на </w:t>
      </w:r>
      <w:r w:rsidRPr="00804D06">
        <w:t>dsRNA</w:t>
      </w:r>
      <w:r w:rsidRPr="00804D06">
        <w:rPr>
          <w:lang w:val="bg-BG"/>
        </w:rPr>
        <w:t xml:space="preserve"> с </w:t>
      </w:r>
      <w:r w:rsidRPr="00804D06">
        <w:t>CQDs</w:t>
      </w:r>
      <w:r w:rsidRPr="00804D06">
        <w:rPr>
          <w:lang w:val="bg-BG"/>
        </w:rPr>
        <w:t xml:space="preserve"> увеличава ефективността на </w:t>
      </w:r>
      <w:r w:rsidRPr="00804D06">
        <w:t>RNAi</w:t>
      </w:r>
      <w:r w:rsidRPr="00804D06">
        <w:rPr>
          <w:lang w:val="bg-BG"/>
        </w:rPr>
        <w:t xml:space="preserve">, като предизвика значително намаляване на нивата на транскриптите на целевия ген в развиващи се </w:t>
      </w:r>
      <w:r w:rsidRPr="00804D06">
        <w:rPr>
          <w:lang w:val="bg-BG"/>
        </w:rPr>
        <w:lastRenderedPageBreak/>
        <w:t xml:space="preserve">спорангии. Не беше наблюдавана цитотоксичност на </w:t>
      </w:r>
      <w:r w:rsidRPr="00804D06">
        <w:t>CQDs</w:t>
      </w:r>
      <w:r w:rsidRPr="00804D06">
        <w:rPr>
          <w:lang w:val="bg-BG"/>
        </w:rPr>
        <w:t xml:space="preserve"> в същите концентрации показващи активност срещу растителните патогени.</w:t>
      </w:r>
    </w:p>
    <w:p w:rsidR="00FC0D0C" w:rsidRDefault="00FC0D0C" w:rsidP="00D23BD9">
      <w:pPr>
        <w:jc w:val="both"/>
        <w:rPr>
          <w:lang w:val="bg-BG"/>
        </w:rPr>
      </w:pPr>
    </w:p>
    <w:p w:rsidR="00FC0D0C" w:rsidRPr="00804D06" w:rsidRDefault="00FC0D0C" w:rsidP="00D23BD9">
      <w:pPr>
        <w:pStyle w:val="NormalWeb"/>
        <w:numPr>
          <w:ilvl w:val="0"/>
          <w:numId w:val="1"/>
        </w:numPr>
        <w:spacing w:before="0" w:beforeAutospacing="0" w:after="0" w:afterAutospacing="0" w:line="276" w:lineRule="auto"/>
        <w:jc w:val="both"/>
      </w:pPr>
      <w:r w:rsidRPr="00804D06">
        <w:t xml:space="preserve">Avramov, Z., Lyubenova, A., </w:t>
      </w:r>
      <w:r w:rsidRPr="0043798D">
        <w:rPr>
          <w:b/>
        </w:rPr>
        <w:t>Kostov, K.</w:t>
      </w:r>
      <w:r w:rsidRPr="00804D06">
        <w:t xml:space="preserve">, Koleva, L., Slavov, S. (2023) Canes wilting with collar and root rot of raspberry caused by </w:t>
      </w:r>
      <w:r w:rsidRPr="00804D06">
        <w:rPr>
          <w:i/>
        </w:rPr>
        <w:t>Phytophthora pseudocryptogea</w:t>
      </w:r>
      <w:r w:rsidRPr="00804D06">
        <w:t xml:space="preserve"> in Bulgaria. Scientific Papers. Series B. Horticulture 67(1), 23–28. </w:t>
      </w:r>
      <w:r w:rsidRPr="00C51DA1">
        <w:rPr>
          <w:b/>
        </w:rPr>
        <w:t>(</w:t>
      </w:r>
      <w:r w:rsidR="002008A5">
        <w:rPr>
          <w:b/>
        </w:rPr>
        <w:t>Г7.</w:t>
      </w:r>
      <w:r w:rsidRPr="00C51DA1">
        <w:rPr>
          <w:b/>
        </w:rPr>
        <w:t>17)</w:t>
      </w:r>
    </w:p>
    <w:p w:rsidR="00FC0D0C" w:rsidRPr="00804D06" w:rsidRDefault="00FC0D0C" w:rsidP="00D23BD9">
      <w:pPr>
        <w:pStyle w:val="NormalWeb"/>
        <w:spacing w:before="0" w:beforeAutospacing="0" w:after="0" w:afterAutospacing="0" w:line="276" w:lineRule="auto"/>
        <w:jc w:val="both"/>
      </w:pPr>
    </w:p>
    <w:p w:rsidR="00FC0D0C" w:rsidRPr="00804D06" w:rsidRDefault="00FC0D0C" w:rsidP="00D23BD9">
      <w:pPr>
        <w:pStyle w:val="NormalWeb"/>
        <w:spacing w:before="0" w:beforeAutospacing="0" w:after="0" w:afterAutospacing="0" w:line="276" w:lineRule="auto"/>
        <w:jc w:val="both"/>
      </w:pPr>
      <w:r w:rsidRPr="00804D06">
        <w:t xml:space="preserve">Canes wilting with collar and root rot of raspberry caused by </w:t>
      </w:r>
      <w:r w:rsidRPr="00804D06">
        <w:rPr>
          <w:i/>
        </w:rPr>
        <w:t>Phytophthora pseudocryptogea</w:t>
      </w:r>
      <w:r w:rsidRPr="00804D06">
        <w:t xml:space="preserve"> in Bulgaria</w:t>
      </w:r>
    </w:p>
    <w:p w:rsidR="00FC0D0C" w:rsidRPr="00804D06" w:rsidRDefault="00FC0D0C" w:rsidP="00D23BD9">
      <w:pPr>
        <w:pStyle w:val="NormalWeb"/>
        <w:spacing w:before="0" w:beforeAutospacing="0" w:after="0" w:afterAutospacing="0" w:line="276" w:lineRule="auto"/>
        <w:jc w:val="both"/>
      </w:pPr>
    </w:p>
    <w:p w:rsidR="00FC0D0C" w:rsidRPr="00804D06" w:rsidRDefault="00FC0D0C" w:rsidP="00D23BD9">
      <w:pPr>
        <w:pStyle w:val="NormalWeb"/>
        <w:spacing w:before="0" w:beforeAutospacing="0" w:after="0" w:afterAutospacing="0" w:line="276" w:lineRule="auto"/>
        <w:jc w:val="both"/>
      </w:pPr>
      <w:r w:rsidRPr="00804D06">
        <w:t>Abstract</w:t>
      </w:r>
    </w:p>
    <w:p w:rsidR="00FC0D0C" w:rsidRPr="00804D06" w:rsidRDefault="00FC0D0C" w:rsidP="00D23BD9">
      <w:pPr>
        <w:pStyle w:val="NormalWeb"/>
        <w:spacing w:before="0" w:beforeAutospacing="0" w:after="0" w:afterAutospacing="0" w:line="276" w:lineRule="auto"/>
        <w:jc w:val="both"/>
      </w:pPr>
      <w:r w:rsidRPr="00804D06">
        <w:t xml:space="preserve">A wide range of herbaceous and woody plant species are known as host plants of </w:t>
      </w:r>
      <w:r w:rsidRPr="00804D06">
        <w:rPr>
          <w:i/>
        </w:rPr>
        <w:t>Phytophthora pseudocryptogea</w:t>
      </w:r>
      <w:r w:rsidRPr="00804D06">
        <w:t xml:space="preserve">, a relatively newly described species. Recently </w:t>
      </w:r>
      <w:r w:rsidRPr="00804D06">
        <w:rPr>
          <w:i/>
        </w:rPr>
        <w:t>P. pseudocryptogea</w:t>
      </w:r>
      <w:r w:rsidRPr="00804D06">
        <w:t xml:space="preserve"> was isolated from raspberry plants in Bulgaria. Diseases plants were found in the 4 to 5 years old variety Ljulin plants on the biological production orchards in Kostenets region. Canes suddenly wilt and turn brown at the onset of warm temperatures. The plants manifested disease symptoms such as collar and root rot. The precise species determination of obtained isolate was done on the basis of the colony and asexual spores morphology and sequence analyses of the ITS region of the nuclear DNA. The pathogenicity of the fungus was tested by detached leaf bioassay on several raspberry cultivars in the laboratory.        </w:t>
      </w:r>
    </w:p>
    <w:p w:rsidR="00FC0D0C" w:rsidRPr="00804D06" w:rsidRDefault="00FC0D0C" w:rsidP="00D23BD9">
      <w:pPr>
        <w:pStyle w:val="NormalWeb"/>
        <w:spacing w:before="0" w:beforeAutospacing="0" w:after="0" w:afterAutospacing="0" w:line="276" w:lineRule="auto"/>
        <w:jc w:val="both"/>
      </w:pPr>
    </w:p>
    <w:p w:rsidR="00FC0D0C" w:rsidRPr="00804D06" w:rsidRDefault="00FC0D0C" w:rsidP="00D23BD9">
      <w:pPr>
        <w:pStyle w:val="NormalWeb"/>
        <w:spacing w:before="0" w:beforeAutospacing="0" w:after="0" w:afterAutospacing="0" w:line="276" w:lineRule="auto"/>
        <w:jc w:val="both"/>
      </w:pPr>
    </w:p>
    <w:p w:rsidR="00FC0D0C" w:rsidRPr="00804D06" w:rsidRDefault="00FC0D0C" w:rsidP="00D23BD9">
      <w:pPr>
        <w:pStyle w:val="NormalWeb"/>
        <w:spacing w:before="0" w:beforeAutospacing="0" w:after="0" w:afterAutospacing="0" w:line="276" w:lineRule="auto"/>
        <w:jc w:val="both"/>
        <w:rPr>
          <w:lang w:val="bg-BG"/>
        </w:rPr>
      </w:pPr>
      <w:r w:rsidRPr="00804D06">
        <w:t xml:space="preserve">Увяхване на стъблата съпроводено с гниене на корените и кореновата шийка на малината, причинено от </w:t>
      </w:r>
      <w:r w:rsidRPr="00804D06">
        <w:rPr>
          <w:i/>
        </w:rPr>
        <w:t>Phytophthora pseudocryptogea</w:t>
      </w:r>
      <w:r w:rsidRPr="00804D06">
        <w:t xml:space="preserve"> в България</w:t>
      </w:r>
    </w:p>
    <w:p w:rsidR="00FC0D0C" w:rsidRPr="00804D06" w:rsidRDefault="00FC0D0C" w:rsidP="00D23BD9">
      <w:pPr>
        <w:pStyle w:val="NormalWeb"/>
        <w:spacing w:before="0" w:beforeAutospacing="0" w:after="0" w:afterAutospacing="0" w:line="276" w:lineRule="auto"/>
        <w:jc w:val="both"/>
        <w:rPr>
          <w:lang w:val="bg-BG"/>
        </w:rPr>
      </w:pPr>
    </w:p>
    <w:p w:rsidR="00FC0D0C" w:rsidRPr="00804D06" w:rsidRDefault="00FC0D0C" w:rsidP="00D23BD9">
      <w:pPr>
        <w:pStyle w:val="NormalWeb"/>
        <w:spacing w:before="0" w:beforeAutospacing="0" w:after="0" w:afterAutospacing="0" w:line="276" w:lineRule="auto"/>
        <w:jc w:val="both"/>
        <w:rPr>
          <w:lang w:val="bg-BG"/>
        </w:rPr>
      </w:pPr>
      <w:r w:rsidRPr="00804D06">
        <w:rPr>
          <w:lang w:val="bg-BG"/>
        </w:rPr>
        <w:t xml:space="preserve">Резюме </w:t>
      </w:r>
    </w:p>
    <w:p w:rsidR="00FC0D0C" w:rsidRDefault="00FC0D0C" w:rsidP="00D23BD9">
      <w:pPr>
        <w:pStyle w:val="NormalWeb"/>
        <w:spacing w:before="0" w:beforeAutospacing="0" w:after="0" w:afterAutospacing="0" w:line="276" w:lineRule="auto"/>
        <w:jc w:val="both"/>
        <w:rPr>
          <w:lang w:val="bg-BG"/>
        </w:rPr>
      </w:pPr>
      <w:r w:rsidRPr="00804D06">
        <w:rPr>
          <w:lang w:val="bg-BG"/>
        </w:rPr>
        <w:t xml:space="preserve">За сравнително новоописанят вид </w:t>
      </w:r>
      <w:r w:rsidRPr="00804D06">
        <w:rPr>
          <w:i/>
        </w:rPr>
        <w:t>Phytophthora</w:t>
      </w:r>
      <w:r w:rsidRPr="00804D06">
        <w:rPr>
          <w:i/>
          <w:lang w:val="bg-BG"/>
        </w:rPr>
        <w:t xml:space="preserve"> </w:t>
      </w:r>
      <w:r w:rsidRPr="00804D06">
        <w:rPr>
          <w:i/>
        </w:rPr>
        <w:t>pseudocryptogea</w:t>
      </w:r>
      <w:r w:rsidRPr="00804D06">
        <w:rPr>
          <w:lang w:val="bg-BG"/>
        </w:rPr>
        <w:t xml:space="preserve"> е известно, че напада широка гама от тревисти и дървесни растителни видове. Наскоро </w:t>
      </w:r>
      <w:r w:rsidRPr="00804D06">
        <w:rPr>
          <w:i/>
        </w:rPr>
        <w:t>P</w:t>
      </w:r>
      <w:r w:rsidRPr="00804D06">
        <w:rPr>
          <w:i/>
          <w:lang w:val="bg-BG"/>
        </w:rPr>
        <w:t xml:space="preserve">. </w:t>
      </w:r>
      <w:r w:rsidRPr="00804D06">
        <w:rPr>
          <w:i/>
        </w:rPr>
        <w:t>pseudocryptogea</w:t>
      </w:r>
      <w:r w:rsidRPr="00804D06">
        <w:rPr>
          <w:lang w:val="bg-BG"/>
        </w:rPr>
        <w:t xml:space="preserve"> беше изолирана от малинови растения в България. При обследване на 4 до 5-годишни растения, сорт Люлин, в биологични, овощни градини в района на град Костенец бяха открити растения с признаци на заболяване. С настъпването на топлите температури стъблата внезапно увяхват и покафеняват. Растенията проявяват симптоми изразяващи се в гниене на корените и кореновата шийка. Прецизното определяне на вида на получения изолат беше извършено въз основа на морфологията на колониите и безполовите структури и анализа на последователността на </w:t>
      </w:r>
      <w:r w:rsidRPr="00804D06">
        <w:t>ITS</w:t>
      </w:r>
      <w:r w:rsidRPr="00804D06">
        <w:rPr>
          <w:lang w:val="bg-BG"/>
        </w:rPr>
        <w:t xml:space="preserve"> региона на ядрената ДНК. Патогенността на изолата беше определена по метода на откъснатия листа върху няколко сорта малина в лабораторни условия.</w:t>
      </w:r>
    </w:p>
    <w:p w:rsidR="00FC0D0C" w:rsidRDefault="00FC0D0C" w:rsidP="00D23BD9">
      <w:pPr>
        <w:pStyle w:val="NormalWeb"/>
        <w:spacing w:before="0" w:beforeAutospacing="0" w:after="0" w:afterAutospacing="0" w:line="276" w:lineRule="auto"/>
        <w:jc w:val="both"/>
        <w:rPr>
          <w:lang w:val="bg-BG"/>
        </w:rPr>
      </w:pPr>
    </w:p>
    <w:p w:rsidR="00FC0D0C" w:rsidRPr="00804D06" w:rsidRDefault="00FC0D0C" w:rsidP="00D23BD9">
      <w:pPr>
        <w:pStyle w:val="NormalWeb"/>
        <w:numPr>
          <w:ilvl w:val="0"/>
          <w:numId w:val="1"/>
        </w:numPr>
        <w:spacing w:before="0" w:beforeAutospacing="0" w:after="0" w:afterAutospacing="0" w:line="276" w:lineRule="auto"/>
        <w:jc w:val="both"/>
      </w:pPr>
      <w:r w:rsidRPr="0043798D">
        <w:rPr>
          <w:b/>
        </w:rPr>
        <w:lastRenderedPageBreak/>
        <w:t>Kostov, K.</w:t>
      </w:r>
      <w:r w:rsidRPr="00804D06">
        <w:t xml:space="preserve"> (2023) Towards spray-induced gene silencing (SIGS) for plant disease management – the case of </w:t>
      </w:r>
      <w:r w:rsidRPr="00804D06">
        <w:rPr>
          <w:i/>
        </w:rPr>
        <w:t>Phytophthora infestans</w:t>
      </w:r>
      <w:r w:rsidRPr="00804D06">
        <w:t xml:space="preserve">. IOBC-WPRS Bulletin 163, 54–60. </w:t>
      </w:r>
      <w:r w:rsidRPr="00C51DA1">
        <w:rPr>
          <w:b/>
        </w:rPr>
        <w:t>(</w:t>
      </w:r>
      <w:r w:rsidR="002008A5">
        <w:rPr>
          <w:b/>
        </w:rPr>
        <w:t>Г7.</w:t>
      </w:r>
      <w:r w:rsidRPr="00C51DA1">
        <w:rPr>
          <w:b/>
        </w:rPr>
        <w:t>18)</w:t>
      </w:r>
    </w:p>
    <w:p w:rsidR="00FC0D0C" w:rsidRPr="00804D06" w:rsidRDefault="00FC0D0C" w:rsidP="00D23BD9">
      <w:pPr>
        <w:pStyle w:val="NormalWeb"/>
        <w:spacing w:before="0" w:beforeAutospacing="0" w:after="0" w:afterAutospacing="0" w:line="276" w:lineRule="auto"/>
        <w:jc w:val="both"/>
        <w:rPr>
          <w:b/>
        </w:rPr>
      </w:pPr>
    </w:p>
    <w:p w:rsidR="00FC0D0C" w:rsidRPr="00804D06" w:rsidRDefault="00FC0D0C" w:rsidP="00D23BD9">
      <w:pPr>
        <w:pStyle w:val="NormalWeb"/>
        <w:spacing w:before="0" w:beforeAutospacing="0" w:after="0" w:afterAutospacing="0" w:line="276" w:lineRule="auto"/>
        <w:jc w:val="both"/>
      </w:pPr>
      <w:r w:rsidRPr="00804D06">
        <w:t xml:space="preserve">Towards spray-induced gene silencing (SIGS) for plant disease management – the case of </w:t>
      </w:r>
      <w:r w:rsidRPr="00804D06">
        <w:rPr>
          <w:i/>
        </w:rPr>
        <w:t>Phytophthora infestans</w:t>
      </w:r>
    </w:p>
    <w:p w:rsidR="00FC0D0C" w:rsidRPr="00804D06" w:rsidRDefault="00FC0D0C" w:rsidP="00D23BD9">
      <w:pPr>
        <w:pStyle w:val="NormalWeb"/>
        <w:spacing w:before="0" w:beforeAutospacing="0" w:after="0" w:afterAutospacing="0" w:line="276" w:lineRule="auto"/>
        <w:jc w:val="both"/>
      </w:pPr>
    </w:p>
    <w:p w:rsidR="00FC0D0C" w:rsidRPr="00804D06" w:rsidRDefault="00FC0D0C" w:rsidP="00D23BD9">
      <w:pPr>
        <w:pStyle w:val="NormalWeb"/>
        <w:spacing w:before="0" w:beforeAutospacing="0" w:after="0" w:afterAutospacing="0" w:line="276" w:lineRule="auto"/>
        <w:jc w:val="both"/>
      </w:pPr>
      <w:r w:rsidRPr="00804D06">
        <w:t>Abstract</w:t>
      </w:r>
    </w:p>
    <w:p w:rsidR="00FC0D0C" w:rsidRPr="00804D06" w:rsidRDefault="00FC0D0C" w:rsidP="00D23BD9">
      <w:pPr>
        <w:pStyle w:val="NormalWeb"/>
        <w:spacing w:before="0" w:beforeAutospacing="0" w:after="0" w:afterAutospacing="0" w:line="276" w:lineRule="auto"/>
        <w:jc w:val="both"/>
      </w:pPr>
      <w:r w:rsidRPr="00804D06">
        <w:t xml:space="preserve">There is a steady increase in the research about the applicability of RNA interference (RNAi) for control of plant pathogenic fungi in the last 10 years. The technology offers a remarkable target specificity, which can contribute to the integrated pest management strategies and for agrobiodiversity conservation. There are two major techniques under consideration depending on the delivery method of the interfering double-stranded RNA (dsRNA), called host-induced gene silencing (HIGS) and spray-induced gene silencing (SIGS). Both techniques, however, depend on the susceptibility of the target species to the exposure to dsRNA. The successful use of the HIGS strategy to reduce the disease symptoms after </w:t>
      </w:r>
      <w:r w:rsidRPr="00804D06">
        <w:rPr>
          <w:i/>
        </w:rPr>
        <w:t>P. infestans</w:t>
      </w:r>
      <w:r w:rsidRPr="00804D06">
        <w:t xml:space="preserve"> infection has been demonstrated, providing evidence for the functioning of the RNAi machinery in this organism. Studies on the efficiency of SIGS for the control of </w:t>
      </w:r>
      <w:r w:rsidRPr="00804D06">
        <w:rPr>
          <w:i/>
        </w:rPr>
        <w:t>P. infestans</w:t>
      </w:r>
      <w:r w:rsidRPr="00804D06">
        <w:t xml:space="preserve"> became available only recently, however they report contradictory results. Here, the progress in the application of RNAi for plant protection purposes is reviewed and the challenges of using SIGS for </w:t>
      </w:r>
      <w:r w:rsidRPr="00804D06">
        <w:rPr>
          <w:i/>
        </w:rPr>
        <w:t>P. infestans</w:t>
      </w:r>
      <w:r w:rsidRPr="00804D06">
        <w:t xml:space="preserve"> management are discussed.</w:t>
      </w:r>
    </w:p>
    <w:p w:rsidR="00FC0D0C" w:rsidRPr="00804D06" w:rsidRDefault="00FC0D0C" w:rsidP="00D23BD9">
      <w:pPr>
        <w:pStyle w:val="NormalWeb"/>
        <w:spacing w:before="0" w:beforeAutospacing="0" w:after="0" w:afterAutospacing="0" w:line="276" w:lineRule="auto"/>
        <w:jc w:val="both"/>
      </w:pPr>
    </w:p>
    <w:p w:rsidR="00FC0D0C" w:rsidRPr="00804D06" w:rsidRDefault="00FC0D0C" w:rsidP="00D23BD9">
      <w:pPr>
        <w:pStyle w:val="NormalWeb"/>
        <w:spacing w:before="0" w:beforeAutospacing="0" w:after="0" w:afterAutospacing="0" w:line="276" w:lineRule="auto"/>
        <w:jc w:val="both"/>
        <w:rPr>
          <w:lang w:val="bg-BG"/>
        </w:rPr>
      </w:pPr>
      <w:r w:rsidRPr="00804D06">
        <w:t xml:space="preserve">Към използване на индуцирано чрез пръскане заглушаване на гени (SIGS) за контрол на болестите по растенията – случаят с </w:t>
      </w:r>
      <w:r w:rsidRPr="00804D06">
        <w:rPr>
          <w:i/>
        </w:rPr>
        <w:t>Phytophthora infestans</w:t>
      </w:r>
    </w:p>
    <w:p w:rsidR="00FC0D0C" w:rsidRPr="00804D06" w:rsidRDefault="00FC0D0C" w:rsidP="00D23BD9">
      <w:pPr>
        <w:pStyle w:val="NormalWeb"/>
        <w:spacing w:before="0" w:beforeAutospacing="0" w:after="0" w:afterAutospacing="0" w:line="276" w:lineRule="auto"/>
        <w:jc w:val="both"/>
        <w:rPr>
          <w:lang w:val="bg-BG"/>
        </w:rPr>
      </w:pPr>
    </w:p>
    <w:p w:rsidR="00FC0D0C" w:rsidRPr="00804D06" w:rsidRDefault="00FC0D0C" w:rsidP="00D23BD9">
      <w:pPr>
        <w:pStyle w:val="NormalWeb"/>
        <w:spacing w:before="0" w:beforeAutospacing="0" w:after="0" w:afterAutospacing="0" w:line="276" w:lineRule="auto"/>
        <w:jc w:val="both"/>
        <w:rPr>
          <w:lang w:val="bg-BG"/>
        </w:rPr>
      </w:pPr>
      <w:r w:rsidRPr="00804D06">
        <w:rPr>
          <w:lang w:val="bg-BG"/>
        </w:rPr>
        <w:t>Резюме</w:t>
      </w:r>
    </w:p>
    <w:p w:rsidR="00FC0D0C" w:rsidRPr="00804D06" w:rsidRDefault="00FC0D0C" w:rsidP="00D23BD9">
      <w:pPr>
        <w:pStyle w:val="NormalWeb"/>
        <w:spacing w:before="0" w:beforeAutospacing="0" w:after="0" w:afterAutospacing="0" w:line="276" w:lineRule="auto"/>
        <w:jc w:val="both"/>
        <w:rPr>
          <w:lang w:val="bg-BG"/>
        </w:rPr>
      </w:pPr>
      <w:r w:rsidRPr="00804D06">
        <w:rPr>
          <w:lang w:val="bg-BG"/>
        </w:rPr>
        <w:t>През последните 10 години се наблюдава постоянно увеличение на изследванията относно приложимостта на РНК интерференцията (</w:t>
      </w:r>
      <w:r w:rsidRPr="00804D06">
        <w:t>RNAi</w:t>
      </w:r>
      <w:r w:rsidRPr="00804D06">
        <w:rPr>
          <w:lang w:val="bg-BG"/>
        </w:rPr>
        <w:t>) за контрол на растителни патогенни. Технологията предлага забележителна целева специфичност, която да подпомогне разработването на нови стратегии за интегриран контрол на вредителите и за опазване на агробиоразнообразието. В зависимост от метода на доставяне на интерфериращата двуверижна РНК (</w:t>
      </w:r>
      <w:r w:rsidRPr="00804D06">
        <w:t>dsRNA</w:t>
      </w:r>
      <w:r w:rsidRPr="00804D06">
        <w:rPr>
          <w:lang w:val="bg-BG"/>
        </w:rPr>
        <w:t>), съществуват две основни техники на приложение, наречени индуцирано от гостоприемника заглушаване на гени (</w:t>
      </w:r>
      <w:r w:rsidRPr="00804D06">
        <w:t>HIGS</w:t>
      </w:r>
      <w:r w:rsidRPr="00804D06">
        <w:rPr>
          <w:lang w:val="bg-BG"/>
        </w:rPr>
        <w:t>) и индуцирано чрез пръскане заглушаване на гени (</w:t>
      </w:r>
      <w:r w:rsidRPr="00804D06">
        <w:t>SIGS</w:t>
      </w:r>
      <w:r w:rsidRPr="00804D06">
        <w:rPr>
          <w:lang w:val="bg-BG"/>
        </w:rPr>
        <w:t xml:space="preserve">). Ефективността и на двете техники обаче зависи от чувствителността на целевия организъм към излагане на </w:t>
      </w:r>
      <w:r w:rsidRPr="00804D06">
        <w:t>dsRNA</w:t>
      </w:r>
      <w:r w:rsidRPr="00804D06">
        <w:rPr>
          <w:lang w:val="bg-BG"/>
        </w:rPr>
        <w:t xml:space="preserve">. Стратегията </w:t>
      </w:r>
      <w:r w:rsidRPr="00804D06">
        <w:t>HIGS</w:t>
      </w:r>
      <w:r w:rsidRPr="00804D06">
        <w:rPr>
          <w:lang w:val="bg-BG"/>
        </w:rPr>
        <w:t xml:space="preserve"> е използвана успешно за намаляване на симптомите след инфекция с </w:t>
      </w:r>
      <w:r w:rsidRPr="00804D06">
        <w:rPr>
          <w:i/>
        </w:rPr>
        <w:t>P</w:t>
      </w:r>
      <w:r w:rsidRPr="00804D06">
        <w:rPr>
          <w:i/>
          <w:lang w:val="bg-BG"/>
        </w:rPr>
        <w:t xml:space="preserve">. </w:t>
      </w:r>
      <w:r w:rsidRPr="00804D06">
        <w:rPr>
          <w:i/>
        </w:rPr>
        <w:t>infestans</w:t>
      </w:r>
      <w:r w:rsidRPr="00804D06">
        <w:rPr>
          <w:lang w:val="bg-BG"/>
        </w:rPr>
        <w:t xml:space="preserve">, предоставяйки доказателства за функционирането на </w:t>
      </w:r>
      <w:r w:rsidRPr="00804D06">
        <w:t>RNAi</w:t>
      </w:r>
      <w:r w:rsidRPr="00804D06">
        <w:rPr>
          <w:lang w:val="bg-BG"/>
        </w:rPr>
        <w:t xml:space="preserve"> механизма в този организъм. Наскоро проведени проучвания върху ефективността на </w:t>
      </w:r>
      <w:r w:rsidRPr="00804D06">
        <w:t>SIGS</w:t>
      </w:r>
      <w:r w:rsidRPr="00804D06">
        <w:rPr>
          <w:lang w:val="bg-BG"/>
        </w:rPr>
        <w:t xml:space="preserve"> за контрол на </w:t>
      </w:r>
      <w:r w:rsidRPr="00804D06">
        <w:rPr>
          <w:i/>
        </w:rPr>
        <w:t>P</w:t>
      </w:r>
      <w:r w:rsidRPr="00804D06">
        <w:rPr>
          <w:i/>
          <w:lang w:val="bg-BG"/>
        </w:rPr>
        <w:t xml:space="preserve">. </w:t>
      </w:r>
      <w:r w:rsidRPr="00804D06">
        <w:rPr>
          <w:i/>
        </w:rPr>
        <w:t>infestans</w:t>
      </w:r>
      <w:r w:rsidRPr="00804D06">
        <w:rPr>
          <w:lang w:val="bg-BG"/>
        </w:rPr>
        <w:t xml:space="preserve">, отчитат противоречиви резултати. Тук е разгледан напредъкът в приложението на </w:t>
      </w:r>
      <w:r w:rsidRPr="00804D06">
        <w:t>RNAi</w:t>
      </w:r>
      <w:r w:rsidRPr="00804D06">
        <w:rPr>
          <w:lang w:val="bg-BG"/>
        </w:rPr>
        <w:t xml:space="preserve"> за целите на растителната защита и са обсъдени предизвикателствата, свързани с използването на </w:t>
      </w:r>
      <w:r w:rsidRPr="00804D06">
        <w:t>SIGS</w:t>
      </w:r>
      <w:r w:rsidRPr="00804D06">
        <w:rPr>
          <w:lang w:val="bg-BG"/>
        </w:rPr>
        <w:t xml:space="preserve"> за контрол на </w:t>
      </w:r>
      <w:r w:rsidRPr="00804D06">
        <w:rPr>
          <w:i/>
        </w:rPr>
        <w:t>P</w:t>
      </w:r>
      <w:r w:rsidRPr="00804D06">
        <w:rPr>
          <w:i/>
          <w:lang w:val="bg-BG"/>
        </w:rPr>
        <w:t xml:space="preserve">. </w:t>
      </w:r>
      <w:r w:rsidRPr="00804D06">
        <w:rPr>
          <w:i/>
        </w:rPr>
        <w:t>infestans</w:t>
      </w:r>
      <w:r w:rsidRPr="00804D06">
        <w:rPr>
          <w:lang w:val="bg-BG"/>
        </w:rPr>
        <w:t>.</w:t>
      </w:r>
    </w:p>
    <w:p w:rsidR="00FC0D0C" w:rsidRDefault="00FC0D0C" w:rsidP="00D23BD9">
      <w:pPr>
        <w:pStyle w:val="NormalWeb"/>
        <w:spacing w:before="0" w:beforeAutospacing="0" w:after="0" w:afterAutospacing="0" w:line="276" w:lineRule="auto"/>
        <w:jc w:val="both"/>
        <w:rPr>
          <w:lang w:val="bg-BG"/>
        </w:rPr>
      </w:pPr>
    </w:p>
    <w:p w:rsidR="00FC0D0C" w:rsidRPr="00804D06" w:rsidRDefault="00FC0D0C" w:rsidP="00D23BD9">
      <w:pPr>
        <w:pStyle w:val="NormalWeb"/>
        <w:numPr>
          <w:ilvl w:val="0"/>
          <w:numId w:val="1"/>
        </w:numPr>
        <w:spacing w:before="0" w:beforeAutospacing="0" w:after="0" w:afterAutospacing="0" w:line="276" w:lineRule="auto"/>
        <w:jc w:val="both"/>
      </w:pPr>
      <w:r w:rsidRPr="00804D06">
        <w:rPr>
          <w:b/>
        </w:rPr>
        <w:t>Kostov, K.</w:t>
      </w:r>
      <w:r w:rsidRPr="00804D06">
        <w:t xml:space="preserve">, Smagghe, G. (2025) Uptake of dsRNA by plant pathogens: a study of dynamics and efficiency. Acta Horticulturae (in press). </w:t>
      </w:r>
      <w:r w:rsidRPr="00C51DA1">
        <w:rPr>
          <w:b/>
        </w:rPr>
        <w:t>(</w:t>
      </w:r>
      <w:r w:rsidR="002008A5">
        <w:rPr>
          <w:b/>
        </w:rPr>
        <w:t>Г7.</w:t>
      </w:r>
      <w:r w:rsidRPr="00C51DA1">
        <w:rPr>
          <w:b/>
        </w:rPr>
        <w:t>19)</w:t>
      </w:r>
    </w:p>
    <w:p w:rsidR="00FC0D0C" w:rsidRPr="00804D06" w:rsidRDefault="00FC0D0C" w:rsidP="00D23BD9">
      <w:pPr>
        <w:pStyle w:val="NormalWeb"/>
        <w:spacing w:before="0" w:beforeAutospacing="0" w:after="0" w:afterAutospacing="0" w:line="276" w:lineRule="auto"/>
        <w:jc w:val="both"/>
        <w:rPr>
          <w:b/>
        </w:rPr>
      </w:pPr>
    </w:p>
    <w:p w:rsidR="00FC0D0C" w:rsidRPr="00804D06" w:rsidRDefault="00FC0D0C" w:rsidP="00D23BD9">
      <w:pPr>
        <w:pStyle w:val="NormalWeb"/>
        <w:spacing w:before="0" w:beforeAutospacing="0" w:after="0" w:afterAutospacing="0" w:line="276" w:lineRule="auto"/>
        <w:jc w:val="both"/>
      </w:pPr>
      <w:r w:rsidRPr="00804D06">
        <w:t>Uptake of dsRNA by plant pathogens: a study of dynamics and efficiency</w:t>
      </w:r>
    </w:p>
    <w:p w:rsidR="00FC0D0C" w:rsidRPr="00804D06" w:rsidRDefault="00FC0D0C" w:rsidP="00D23BD9">
      <w:pPr>
        <w:pStyle w:val="NormalWeb"/>
        <w:spacing w:before="0" w:beforeAutospacing="0" w:after="0" w:afterAutospacing="0" w:line="276" w:lineRule="auto"/>
        <w:jc w:val="both"/>
      </w:pPr>
    </w:p>
    <w:p w:rsidR="00FC0D0C" w:rsidRPr="00804D06" w:rsidRDefault="00FC0D0C" w:rsidP="00D23BD9">
      <w:pPr>
        <w:pStyle w:val="NormalWeb"/>
        <w:spacing w:before="0" w:beforeAutospacing="0" w:after="0" w:afterAutospacing="0" w:line="276" w:lineRule="auto"/>
        <w:jc w:val="both"/>
      </w:pPr>
      <w:r w:rsidRPr="00804D06">
        <w:t>Abstract</w:t>
      </w:r>
    </w:p>
    <w:p w:rsidR="00FC0D0C" w:rsidRPr="00804D06" w:rsidRDefault="00FC0D0C" w:rsidP="00D23BD9">
      <w:pPr>
        <w:pStyle w:val="NormalWeb"/>
        <w:spacing w:before="0" w:beforeAutospacing="0" w:after="0" w:afterAutospacing="0" w:line="276" w:lineRule="auto"/>
        <w:jc w:val="both"/>
      </w:pPr>
      <w:r w:rsidRPr="00804D06">
        <w:t>Essential genes of fungal pathogens can be silenced through the application of double-stranded RNA (dsRNA) via RNA interference (RNAi), offering a novel, target-specific control method with reduced environmental impact. The uptake of dsRNA is crucial for the effectiveness of RNAi and has been extensively studied in numerous insect pests, but only in a limited number of plant pathogenic microorganisms. In this project, we aim to assess the efficiency and dynamics of dsRNA uptake in five microorganisms—</w:t>
      </w:r>
      <w:r w:rsidRPr="00804D06">
        <w:rPr>
          <w:i/>
        </w:rPr>
        <w:t>Phytophthora infestans</w:t>
      </w:r>
      <w:r w:rsidRPr="00804D06">
        <w:t xml:space="preserve">, </w:t>
      </w:r>
      <w:r w:rsidRPr="00804D06">
        <w:rPr>
          <w:i/>
        </w:rPr>
        <w:t>Botrytis cinerea</w:t>
      </w:r>
      <w:r w:rsidRPr="00804D06">
        <w:t xml:space="preserve">, </w:t>
      </w:r>
      <w:r w:rsidRPr="00804D06">
        <w:rPr>
          <w:i/>
        </w:rPr>
        <w:t>Fusarium oxysporum</w:t>
      </w:r>
      <w:r w:rsidRPr="00804D06">
        <w:t xml:space="preserve">, </w:t>
      </w:r>
      <w:r w:rsidRPr="00804D06">
        <w:rPr>
          <w:i/>
        </w:rPr>
        <w:t>Alternaria alternata</w:t>
      </w:r>
      <w:r w:rsidRPr="00804D06">
        <w:t xml:space="preserve">, and </w:t>
      </w:r>
      <w:r w:rsidRPr="00804D06">
        <w:rPr>
          <w:i/>
        </w:rPr>
        <w:t>Clonostachys rosea</w:t>
      </w:r>
      <w:r w:rsidRPr="00804D06">
        <w:t xml:space="preserve">. Fluorescently labeled dsRNA was used to observe uptake during the early developmental stages of all microorganisms. </w:t>
      </w:r>
      <w:r w:rsidRPr="00804D06">
        <w:rPr>
          <w:i/>
        </w:rPr>
        <w:t>B. cinerea</w:t>
      </w:r>
      <w:r w:rsidRPr="00804D06">
        <w:t xml:space="preserve"> and </w:t>
      </w:r>
      <w:r w:rsidRPr="00804D06">
        <w:rPr>
          <w:i/>
        </w:rPr>
        <w:t>P. infestans</w:t>
      </w:r>
      <w:r w:rsidRPr="00804D06">
        <w:t xml:space="preserve"> served as reference species, known for their high and low dsRNA uptake efficiencies, respectively. The dsRNA uptake in </w:t>
      </w:r>
      <w:r w:rsidRPr="00804D06">
        <w:rPr>
          <w:i/>
        </w:rPr>
        <w:t>A. alternata</w:t>
      </w:r>
      <w:r w:rsidRPr="00804D06">
        <w:t xml:space="preserve"> and </w:t>
      </w:r>
      <w:r w:rsidRPr="00804D06">
        <w:rPr>
          <w:i/>
        </w:rPr>
        <w:t>C. rosea</w:t>
      </w:r>
      <w:r w:rsidRPr="00804D06">
        <w:t xml:space="preserve"> was comparable to that of </w:t>
      </w:r>
      <w:r w:rsidRPr="00804D06">
        <w:rPr>
          <w:i/>
        </w:rPr>
        <w:t>B. cinerea</w:t>
      </w:r>
      <w:r w:rsidRPr="00804D06">
        <w:t xml:space="preserve">, indicating high uptake efficiency. Conversely, </w:t>
      </w:r>
      <w:r w:rsidRPr="00804D06">
        <w:rPr>
          <w:i/>
        </w:rPr>
        <w:t>F. oxysporum</w:t>
      </w:r>
      <w:r w:rsidRPr="00804D06">
        <w:t xml:space="preserve"> exhibited low dsRNA uptake, similar to </w:t>
      </w:r>
      <w:r w:rsidRPr="00804D06">
        <w:rPr>
          <w:i/>
        </w:rPr>
        <w:t>P. infestans</w:t>
      </w:r>
      <w:r w:rsidRPr="00804D06">
        <w:t>. To investigate the relationship between dsRNA uptake efficiency and fungal cell wall composition, calcofluor white staining was employed. Our findings provide valuable insights for the development of RNAi-based plant protection products.</w:t>
      </w:r>
    </w:p>
    <w:p w:rsidR="00FC0D0C" w:rsidRPr="00804D06" w:rsidRDefault="00FC0D0C" w:rsidP="00D23BD9">
      <w:pPr>
        <w:pStyle w:val="NormalWeb"/>
        <w:spacing w:before="0" w:beforeAutospacing="0" w:after="0" w:afterAutospacing="0" w:line="276" w:lineRule="auto"/>
        <w:jc w:val="both"/>
      </w:pPr>
    </w:p>
    <w:p w:rsidR="00FC0D0C" w:rsidRPr="00804D06" w:rsidRDefault="00FC0D0C" w:rsidP="00D23BD9">
      <w:pPr>
        <w:pStyle w:val="NormalWeb"/>
        <w:spacing w:before="0" w:beforeAutospacing="0" w:after="0" w:afterAutospacing="0" w:line="276" w:lineRule="auto"/>
        <w:jc w:val="both"/>
        <w:rPr>
          <w:lang w:val="bg-BG"/>
        </w:rPr>
      </w:pPr>
      <w:r w:rsidRPr="00804D06">
        <w:rPr>
          <w:lang w:val="bg-BG"/>
        </w:rPr>
        <w:t>Поемане на dsRNA от растителни патогени: изследване на динамиката и ефективността</w:t>
      </w:r>
    </w:p>
    <w:p w:rsidR="00FC0D0C" w:rsidRPr="00804D06" w:rsidRDefault="00FC0D0C" w:rsidP="00D23BD9">
      <w:pPr>
        <w:pStyle w:val="NormalWeb"/>
        <w:spacing w:before="0" w:beforeAutospacing="0" w:after="0" w:afterAutospacing="0" w:line="276" w:lineRule="auto"/>
        <w:jc w:val="both"/>
        <w:rPr>
          <w:lang w:val="bg-BG"/>
        </w:rPr>
      </w:pPr>
    </w:p>
    <w:p w:rsidR="00FC0D0C" w:rsidRPr="00804D06" w:rsidRDefault="00FC0D0C" w:rsidP="00D23BD9">
      <w:pPr>
        <w:pStyle w:val="NormalWeb"/>
        <w:spacing w:before="0" w:beforeAutospacing="0" w:after="0" w:afterAutospacing="0" w:line="276" w:lineRule="auto"/>
        <w:jc w:val="both"/>
        <w:rPr>
          <w:lang w:val="bg-BG"/>
        </w:rPr>
      </w:pPr>
      <w:r w:rsidRPr="00804D06">
        <w:rPr>
          <w:lang w:val="bg-BG"/>
        </w:rPr>
        <w:t>Резюме</w:t>
      </w:r>
    </w:p>
    <w:p w:rsidR="00FC0D0C" w:rsidRDefault="00FC0D0C" w:rsidP="00D23BD9">
      <w:pPr>
        <w:pStyle w:val="NormalWeb"/>
        <w:spacing w:before="0" w:beforeAutospacing="0" w:after="0" w:afterAutospacing="0" w:line="276" w:lineRule="auto"/>
        <w:jc w:val="both"/>
        <w:rPr>
          <w:lang w:val="bg-BG"/>
        </w:rPr>
      </w:pPr>
      <w:r w:rsidRPr="00804D06">
        <w:rPr>
          <w:lang w:val="bg-BG"/>
        </w:rPr>
        <w:t>Жизненоважни гени на гъбните патогени по растенията могат да бъдат заглушени чрез прилагането на двойноверижна РНК (</w:t>
      </w:r>
      <w:r w:rsidRPr="00804D06">
        <w:t>dsRNA</w:t>
      </w:r>
      <w:r w:rsidRPr="00804D06">
        <w:rPr>
          <w:lang w:val="bg-BG"/>
        </w:rPr>
        <w:t>) и индуциране на РНК интерференция (</w:t>
      </w:r>
      <w:r w:rsidRPr="00804D06">
        <w:t>RNAi</w:t>
      </w:r>
      <w:r w:rsidRPr="00804D06">
        <w:rPr>
          <w:lang w:val="bg-BG"/>
        </w:rPr>
        <w:t xml:space="preserve">), предлагайки нов, целево-специфичен метод за контрол с намалено въздействие върху околната среда. Способността за поемане на </w:t>
      </w:r>
      <w:r w:rsidRPr="00804D06">
        <w:t>dsRNA</w:t>
      </w:r>
      <w:r w:rsidRPr="00804D06">
        <w:rPr>
          <w:lang w:val="bg-BG"/>
        </w:rPr>
        <w:t xml:space="preserve"> е от решаващо значение за ефективността на </w:t>
      </w:r>
      <w:r w:rsidRPr="00804D06">
        <w:t>RNAi</w:t>
      </w:r>
      <w:r w:rsidRPr="00804D06">
        <w:rPr>
          <w:lang w:val="bg-BG"/>
        </w:rPr>
        <w:t xml:space="preserve"> и е обстойно проучена при множество насекомни вредители, но едва при няколко вида микроорганизми, патогенни за растенията. В това изследване имаме за цел да оценим ефективността и динамиката на поемането на </w:t>
      </w:r>
      <w:r w:rsidRPr="00804D06">
        <w:t>dsRNA</w:t>
      </w:r>
      <w:r w:rsidRPr="00804D06">
        <w:rPr>
          <w:lang w:val="bg-BG"/>
        </w:rPr>
        <w:t xml:space="preserve"> от пет микроорганизма - </w:t>
      </w:r>
      <w:r w:rsidRPr="00804D06">
        <w:rPr>
          <w:i/>
        </w:rPr>
        <w:t>Phytophthora</w:t>
      </w:r>
      <w:r w:rsidRPr="00804D06">
        <w:rPr>
          <w:i/>
          <w:lang w:val="bg-BG"/>
        </w:rPr>
        <w:t xml:space="preserve"> </w:t>
      </w:r>
      <w:r w:rsidRPr="00804D06">
        <w:rPr>
          <w:i/>
        </w:rPr>
        <w:t>infestans</w:t>
      </w:r>
      <w:r w:rsidRPr="00804D06">
        <w:rPr>
          <w:lang w:val="bg-BG"/>
        </w:rPr>
        <w:t xml:space="preserve">, </w:t>
      </w:r>
      <w:r w:rsidRPr="00804D06">
        <w:rPr>
          <w:i/>
        </w:rPr>
        <w:t>Botrytis</w:t>
      </w:r>
      <w:r w:rsidRPr="00804D06">
        <w:rPr>
          <w:i/>
          <w:lang w:val="bg-BG"/>
        </w:rPr>
        <w:t xml:space="preserve"> </w:t>
      </w:r>
      <w:r w:rsidRPr="00804D06">
        <w:rPr>
          <w:i/>
        </w:rPr>
        <w:t>cinerea</w:t>
      </w:r>
      <w:r w:rsidRPr="00804D06">
        <w:rPr>
          <w:lang w:val="bg-BG"/>
        </w:rPr>
        <w:t xml:space="preserve">, </w:t>
      </w:r>
      <w:r w:rsidRPr="00804D06">
        <w:rPr>
          <w:i/>
        </w:rPr>
        <w:t>Fusarium</w:t>
      </w:r>
      <w:r w:rsidRPr="00804D06">
        <w:rPr>
          <w:i/>
          <w:lang w:val="bg-BG"/>
        </w:rPr>
        <w:t xml:space="preserve"> </w:t>
      </w:r>
      <w:r w:rsidRPr="00804D06">
        <w:rPr>
          <w:i/>
        </w:rPr>
        <w:t>oxysporum</w:t>
      </w:r>
      <w:r w:rsidRPr="00804D06">
        <w:rPr>
          <w:lang w:val="bg-BG"/>
        </w:rPr>
        <w:t xml:space="preserve">, </w:t>
      </w:r>
      <w:r w:rsidRPr="00804D06">
        <w:rPr>
          <w:i/>
        </w:rPr>
        <w:t>Alternaria</w:t>
      </w:r>
      <w:r w:rsidRPr="00804D06">
        <w:rPr>
          <w:i/>
          <w:lang w:val="bg-BG"/>
        </w:rPr>
        <w:t xml:space="preserve"> </w:t>
      </w:r>
      <w:r w:rsidRPr="00804D06">
        <w:rPr>
          <w:i/>
        </w:rPr>
        <w:t>alternata</w:t>
      </w:r>
      <w:r w:rsidRPr="00804D06">
        <w:rPr>
          <w:lang w:val="bg-BG"/>
        </w:rPr>
        <w:t xml:space="preserve"> и </w:t>
      </w:r>
      <w:r w:rsidRPr="00804D06">
        <w:rPr>
          <w:i/>
        </w:rPr>
        <w:t>Clonostachys</w:t>
      </w:r>
      <w:r w:rsidRPr="00804D06">
        <w:rPr>
          <w:i/>
          <w:lang w:val="bg-BG"/>
        </w:rPr>
        <w:t xml:space="preserve"> </w:t>
      </w:r>
      <w:r w:rsidRPr="00804D06">
        <w:rPr>
          <w:i/>
        </w:rPr>
        <w:t>rosea</w:t>
      </w:r>
      <w:r w:rsidRPr="00804D06">
        <w:rPr>
          <w:lang w:val="bg-BG"/>
        </w:rPr>
        <w:t xml:space="preserve">. За оценка на степента на поемане в ранните етапи на развитие на микроорганизмите е използвана флуоресцентно белязана </w:t>
      </w:r>
      <w:r w:rsidRPr="00804D06">
        <w:t>dsRNA</w:t>
      </w:r>
      <w:r w:rsidRPr="00804D06">
        <w:rPr>
          <w:lang w:val="bg-BG"/>
        </w:rPr>
        <w:t xml:space="preserve">. Видовете </w:t>
      </w:r>
      <w:r w:rsidRPr="00804D06">
        <w:rPr>
          <w:i/>
        </w:rPr>
        <w:t>B</w:t>
      </w:r>
      <w:r w:rsidRPr="00804D06">
        <w:rPr>
          <w:i/>
          <w:lang w:val="bg-BG"/>
        </w:rPr>
        <w:t xml:space="preserve">. </w:t>
      </w:r>
      <w:r w:rsidRPr="00804D06">
        <w:rPr>
          <w:i/>
        </w:rPr>
        <w:t>cinerea</w:t>
      </w:r>
      <w:r w:rsidRPr="00804D06">
        <w:rPr>
          <w:lang w:val="bg-BG"/>
        </w:rPr>
        <w:t xml:space="preserve"> и </w:t>
      </w:r>
      <w:r w:rsidRPr="00804D06">
        <w:rPr>
          <w:i/>
        </w:rPr>
        <w:t>P</w:t>
      </w:r>
      <w:r w:rsidRPr="00804D06">
        <w:rPr>
          <w:i/>
          <w:lang w:val="bg-BG"/>
        </w:rPr>
        <w:t xml:space="preserve">. </w:t>
      </w:r>
      <w:r w:rsidRPr="00804D06">
        <w:rPr>
          <w:i/>
        </w:rPr>
        <w:t>infestans</w:t>
      </w:r>
      <w:r w:rsidRPr="00804D06">
        <w:rPr>
          <w:lang w:val="bg-BG"/>
        </w:rPr>
        <w:t xml:space="preserve">, известни съответно с висока и ниска ефективност на поемане на </w:t>
      </w:r>
      <w:r w:rsidRPr="00804D06">
        <w:t>dsRNA</w:t>
      </w:r>
      <w:r w:rsidRPr="00804D06">
        <w:rPr>
          <w:lang w:val="bg-BG"/>
        </w:rPr>
        <w:t xml:space="preserve">, послужиха като референтни организми за сравнение. Степента на поемане на </w:t>
      </w:r>
      <w:r w:rsidRPr="00804D06">
        <w:t>dsRNA</w:t>
      </w:r>
      <w:r w:rsidRPr="00804D06">
        <w:rPr>
          <w:lang w:val="bg-BG"/>
        </w:rPr>
        <w:t xml:space="preserve"> от </w:t>
      </w:r>
      <w:r w:rsidRPr="00804D06">
        <w:rPr>
          <w:i/>
        </w:rPr>
        <w:t>A</w:t>
      </w:r>
      <w:r w:rsidRPr="00804D06">
        <w:rPr>
          <w:i/>
          <w:lang w:val="bg-BG"/>
        </w:rPr>
        <w:t xml:space="preserve">. </w:t>
      </w:r>
      <w:r w:rsidRPr="00804D06">
        <w:rPr>
          <w:i/>
        </w:rPr>
        <w:t>alternata</w:t>
      </w:r>
      <w:r w:rsidRPr="00804D06">
        <w:rPr>
          <w:lang w:val="bg-BG"/>
        </w:rPr>
        <w:t xml:space="preserve"> и </w:t>
      </w:r>
      <w:r w:rsidRPr="00804D06">
        <w:rPr>
          <w:i/>
        </w:rPr>
        <w:t>C</w:t>
      </w:r>
      <w:r w:rsidRPr="00804D06">
        <w:rPr>
          <w:i/>
          <w:lang w:val="bg-BG"/>
        </w:rPr>
        <w:t xml:space="preserve">. </w:t>
      </w:r>
      <w:r w:rsidRPr="00804D06">
        <w:rPr>
          <w:i/>
        </w:rPr>
        <w:t>rosea</w:t>
      </w:r>
      <w:r w:rsidRPr="00804D06">
        <w:rPr>
          <w:lang w:val="bg-BG"/>
        </w:rPr>
        <w:t xml:space="preserve"> беше сравнима с тази на </w:t>
      </w:r>
      <w:r w:rsidRPr="00804D06">
        <w:rPr>
          <w:i/>
        </w:rPr>
        <w:t>B</w:t>
      </w:r>
      <w:r w:rsidRPr="00804D06">
        <w:rPr>
          <w:i/>
          <w:lang w:val="bg-BG"/>
        </w:rPr>
        <w:t xml:space="preserve">. </w:t>
      </w:r>
      <w:r w:rsidRPr="00804D06">
        <w:rPr>
          <w:i/>
        </w:rPr>
        <w:t>cinerea</w:t>
      </w:r>
      <w:r w:rsidRPr="00804D06">
        <w:rPr>
          <w:lang w:val="bg-BG"/>
        </w:rPr>
        <w:t xml:space="preserve">, посочвайки висока ефективност на поемане от тези видове. И обратно, подобно на </w:t>
      </w:r>
      <w:r w:rsidRPr="00804D06">
        <w:rPr>
          <w:i/>
        </w:rPr>
        <w:t>P</w:t>
      </w:r>
      <w:r w:rsidRPr="00804D06">
        <w:rPr>
          <w:i/>
          <w:lang w:val="bg-BG"/>
        </w:rPr>
        <w:t xml:space="preserve">. </w:t>
      </w:r>
      <w:r w:rsidRPr="00804D06">
        <w:rPr>
          <w:i/>
        </w:rPr>
        <w:t>infestans</w:t>
      </w:r>
      <w:r w:rsidRPr="00804D06">
        <w:rPr>
          <w:lang w:val="bg-BG"/>
        </w:rPr>
        <w:t xml:space="preserve">, </w:t>
      </w:r>
      <w:r w:rsidRPr="00804D06">
        <w:rPr>
          <w:i/>
        </w:rPr>
        <w:t>F</w:t>
      </w:r>
      <w:r w:rsidRPr="00804D06">
        <w:rPr>
          <w:i/>
          <w:lang w:val="bg-BG"/>
        </w:rPr>
        <w:t xml:space="preserve">. </w:t>
      </w:r>
      <w:r w:rsidRPr="00804D06">
        <w:rPr>
          <w:i/>
        </w:rPr>
        <w:t>oxysporum</w:t>
      </w:r>
      <w:r w:rsidRPr="00804D06">
        <w:rPr>
          <w:lang w:val="bg-BG"/>
        </w:rPr>
        <w:t xml:space="preserve"> показа ниски нива на поемане на </w:t>
      </w:r>
      <w:r w:rsidRPr="00804D06">
        <w:t>dsRNA</w:t>
      </w:r>
      <w:r w:rsidRPr="00804D06">
        <w:rPr>
          <w:lang w:val="bg-BG"/>
        </w:rPr>
        <w:t xml:space="preserve">. Чрез оцветяване с калкофлуор бяло е проучена връзката между </w:t>
      </w:r>
      <w:r w:rsidRPr="00804D06">
        <w:rPr>
          <w:lang w:val="bg-BG"/>
        </w:rPr>
        <w:lastRenderedPageBreak/>
        <w:t xml:space="preserve">ефективността на усвояване на </w:t>
      </w:r>
      <w:r w:rsidRPr="00804D06">
        <w:t>dsRNA</w:t>
      </w:r>
      <w:r w:rsidRPr="00804D06">
        <w:rPr>
          <w:lang w:val="bg-BG"/>
        </w:rPr>
        <w:t xml:space="preserve"> и състава на клетъчната стена при различните видове гъби. Тези резултати предоставят ценна информация за разработването на продукти за растителна защита на базата на </w:t>
      </w:r>
      <w:r w:rsidRPr="00804D06">
        <w:t>RNAi</w:t>
      </w:r>
      <w:r w:rsidRPr="00804D06">
        <w:rPr>
          <w:lang w:val="bg-BG"/>
        </w:rPr>
        <w:t>.</w:t>
      </w:r>
    </w:p>
    <w:p w:rsidR="00934217" w:rsidRDefault="00934217" w:rsidP="00D23BD9">
      <w:pPr>
        <w:pStyle w:val="NormalWeb"/>
        <w:spacing w:before="0" w:beforeAutospacing="0" w:after="0" w:afterAutospacing="0" w:line="276" w:lineRule="auto"/>
        <w:jc w:val="both"/>
        <w:rPr>
          <w:lang w:val="bg-BG"/>
        </w:rPr>
      </w:pPr>
    </w:p>
    <w:p w:rsidR="00934217" w:rsidRPr="00804D06" w:rsidRDefault="00934217" w:rsidP="00D23BD9">
      <w:pPr>
        <w:pStyle w:val="NormalWeb"/>
        <w:numPr>
          <w:ilvl w:val="0"/>
          <w:numId w:val="1"/>
        </w:numPr>
        <w:spacing w:before="0" w:beforeAutospacing="0" w:after="0" w:afterAutospacing="0" w:line="276" w:lineRule="auto"/>
        <w:jc w:val="both"/>
      </w:pPr>
      <w:r w:rsidRPr="00804D06">
        <w:rPr>
          <w:b/>
        </w:rPr>
        <w:t>Kostov, K.</w:t>
      </w:r>
      <w:r w:rsidRPr="00804D06">
        <w:t xml:space="preserve">, Christova, P., Lyubenova, A., Slavov, S. (2019) Diversity of oomycete species in the riparian ecosystem of Iskar gorge. International Scientific Conference “Kliment’s Days” 104, 90–99. </w:t>
      </w:r>
      <w:r w:rsidRPr="002D537F">
        <w:rPr>
          <w:b/>
        </w:rPr>
        <w:t>(</w:t>
      </w:r>
      <w:r w:rsidR="002008A5">
        <w:rPr>
          <w:b/>
        </w:rPr>
        <w:t>Г8.</w:t>
      </w:r>
      <w:r w:rsidRPr="002D537F">
        <w:rPr>
          <w:b/>
        </w:rPr>
        <w:t>1)</w:t>
      </w:r>
    </w:p>
    <w:p w:rsidR="00934217" w:rsidRPr="00804D06" w:rsidRDefault="00934217" w:rsidP="00D23BD9">
      <w:pPr>
        <w:pStyle w:val="NormalWeb"/>
        <w:spacing w:before="0" w:beforeAutospacing="0" w:after="0" w:afterAutospacing="0" w:line="276" w:lineRule="auto"/>
        <w:ind w:left="360"/>
        <w:jc w:val="both"/>
      </w:pPr>
    </w:p>
    <w:p w:rsidR="00934217" w:rsidRPr="00804D06" w:rsidRDefault="00934217" w:rsidP="00D23BD9">
      <w:pPr>
        <w:pStyle w:val="NormalWeb"/>
        <w:spacing w:before="0" w:beforeAutospacing="0" w:after="0" w:afterAutospacing="0" w:line="276" w:lineRule="auto"/>
        <w:jc w:val="both"/>
      </w:pPr>
      <w:r w:rsidRPr="00804D06">
        <w:t>Diversity of Oomycete species in the riparian ecosystem of Iskar gorge</w:t>
      </w:r>
    </w:p>
    <w:p w:rsidR="00934217" w:rsidRPr="00804D06" w:rsidRDefault="00934217" w:rsidP="00D23BD9">
      <w:pPr>
        <w:pStyle w:val="NormalWeb"/>
        <w:spacing w:before="0" w:beforeAutospacing="0" w:after="0" w:afterAutospacing="0" w:line="276" w:lineRule="auto"/>
        <w:ind w:left="360"/>
        <w:jc w:val="both"/>
      </w:pPr>
    </w:p>
    <w:p w:rsidR="00934217" w:rsidRPr="00804D06" w:rsidRDefault="00934217" w:rsidP="00D23BD9">
      <w:pPr>
        <w:pStyle w:val="NormalWeb"/>
        <w:spacing w:before="0" w:beforeAutospacing="0" w:after="0" w:afterAutospacing="0" w:line="276" w:lineRule="auto"/>
        <w:jc w:val="both"/>
      </w:pPr>
      <w:r w:rsidRPr="00804D06">
        <w:t>Abstract</w:t>
      </w:r>
    </w:p>
    <w:p w:rsidR="00934217" w:rsidRPr="00804D06" w:rsidRDefault="00934217" w:rsidP="00D23BD9">
      <w:pPr>
        <w:pStyle w:val="NormalWeb"/>
        <w:spacing w:before="0" w:beforeAutospacing="0" w:after="0" w:afterAutospacing="0" w:line="276" w:lineRule="auto"/>
        <w:jc w:val="both"/>
      </w:pPr>
      <w:r w:rsidRPr="00804D06">
        <w:t xml:space="preserve">The fungus-like oomycete organisms are often associated with inland waters and riparian ecosystems. Some of them are primary saprophytes utilizing plant debris. Others are able to infect different plant species causing diseases, occasionally with devastating intensity. Rivers are major environment and distribution route of these organisms and as such their presence and composition in the inland waters is a subject of intensive research in the last years. In order to study the diversity of the oomycete species, with an accent to those which belong to genus Phytophthora, in the longest river in Bulgaria - Iskar, we have used a "baiting" method to catch swimming zoospores. "Baits" were placed in the river at 7 locations along the Iskar Gorge. The collected isolates were grown on nutrient media for their morphological and genetic characterization. As a result, we have found species of 3 genera - Phytophthora, </w:t>
      </w:r>
      <w:r w:rsidRPr="00804D06">
        <w:rPr>
          <w:i/>
        </w:rPr>
        <w:t>Phytopythium and</w:t>
      </w:r>
      <w:r w:rsidRPr="00804D06">
        <w:t xml:space="preserve"> </w:t>
      </w:r>
      <w:r w:rsidRPr="00804D06">
        <w:rPr>
          <w:i/>
        </w:rPr>
        <w:t>Pythium with</w:t>
      </w:r>
      <w:r w:rsidRPr="00804D06">
        <w:t xml:space="preserve"> respectively 3 (</w:t>
      </w:r>
      <w:r w:rsidRPr="00804D06">
        <w:rPr>
          <w:i/>
        </w:rPr>
        <w:t>Phytophthora lacustris</w:t>
      </w:r>
      <w:r w:rsidRPr="00804D06">
        <w:t xml:space="preserve">, </w:t>
      </w:r>
      <w:r w:rsidRPr="00804D06">
        <w:rPr>
          <w:i/>
        </w:rPr>
        <w:t>Phytophthora gonapodyides</w:t>
      </w:r>
      <w:r w:rsidRPr="00804D06">
        <w:t xml:space="preserve">, </w:t>
      </w:r>
      <w:r w:rsidRPr="00804D06">
        <w:rPr>
          <w:i/>
        </w:rPr>
        <w:t>Phytophthora chlamydospora</w:t>
      </w:r>
      <w:r w:rsidRPr="00804D06">
        <w:t>), 2 (</w:t>
      </w:r>
      <w:r w:rsidRPr="00804D06">
        <w:rPr>
          <w:i/>
        </w:rPr>
        <w:t>Phytopythium litorale</w:t>
      </w:r>
      <w:r w:rsidRPr="00804D06">
        <w:t xml:space="preserve">, </w:t>
      </w:r>
      <w:r w:rsidRPr="00804D06">
        <w:rPr>
          <w:i/>
        </w:rPr>
        <w:t>Phytopythium montanum</w:t>
      </w:r>
      <w:r w:rsidRPr="00804D06">
        <w:t>) and 1 (</w:t>
      </w:r>
      <w:r w:rsidRPr="00804D06">
        <w:rPr>
          <w:i/>
        </w:rPr>
        <w:t>Pythium sp</w:t>
      </w:r>
      <w:r w:rsidRPr="00804D06">
        <w:t xml:space="preserve">.) representatives. All the above </w:t>
      </w:r>
      <w:r w:rsidRPr="00804D06">
        <w:rPr>
          <w:i/>
        </w:rPr>
        <w:t>Phytophthora species</w:t>
      </w:r>
      <w:r w:rsidRPr="00804D06">
        <w:t xml:space="preserve"> are phylogenetically related as members of clade 6, the representatives of which are commonly isolated from rivers. Some of these species had demonstrated weak to moderate pathogenicity against several plant species in controlled experiments. Most of the oomycete species we found are probably natural inhabitants of the studied riparian ecosystem. No quarantine species have been found.</w:t>
      </w:r>
    </w:p>
    <w:p w:rsidR="00934217" w:rsidRPr="00804D06" w:rsidRDefault="00934217" w:rsidP="00D23BD9">
      <w:pPr>
        <w:pStyle w:val="NormalWeb"/>
        <w:spacing w:before="0" w:beforeAutospacing="0" w:after="0" w:afterAutospacing="0" w:line="276" w:lineRule="auto"/>
        <w:ind w:left="360"/>
        <w:jc w:val="both"/>
        <w:rPr>
          <w:lang w:val="bg-BG"/>
        </w:rPr>
      </w:pPr>
    </w:p>
    <w:p w:rsidR="00934217" w:rsidRPr="00804D06" w:rsidRDefault="00934217" w:rsidP="00D23BD9">
      <w:pPr>
        <w:pStyle w:val="NormalWeb"/>
        <w:spacing w:before="0" w:beforeAutospacing="0" w:after="0" w:afterAutospacing="0" w:line="276" w:lineRule="auto"/>
        <w:jc w:val="both"/>
        <w:rPr>
          <w:lang w:val="bg-BG"/>
        </w:rPr>
      </w:pPr>
      <w:r w:rsidRPr="00804D06">
        <w:rPr>
          <w:lang w:val="bg-BG"/>
        </w:rPr>
        <w:t>Видово разнообразие на оомицети в крайречната екосистема на Искърското дефиле</w:t>
      </w:r>
    </w:p>
    <w:p w:rsidR="00934217" w:rsidRPr="00804D06" w:rsidRDefault="00934217" w:rsidP="00D23BD9">
      <w:pPr>
        <w:pStyle w:val="NormalWeb"/>
        <w:spacing w:before="0" w:beforeAutospacing="0" w:after="0" w:afterAutospacing="0" w:line="276" w:lineRule="auto"/>
        <w:ind w:left="360"/>
        <w:jc w:val="both"/>
        <w:rPr>
          <w:lang w:val="bg-BG"/>
        </w:rPr>
      </w:pPr>
    </w:p>
    <w:p w:rsidR="00934217" w:rsidRPr="00804D06" w:rsidRDefault="00934217" w:rsidP="00D23BD9">
      <w:pPr>
        <w:pStyle w:val="NormalWeb"/>
        <w:spacing w:before="0" w:beforeAutospacing="0" w:after="0" w:afterAutospacing="0" w:line="276" w:lineRule="auto"/>
        <w:jc w:val="both"/>
        <w:rPr>
          <w:lang w:val="bg-BG"/>
        </w:rPr>
      </w:pPr>
      <w:r w:rsidRPr="00804D06">
        <w:rPr>
          <w:lang w:val="bg-BG"/>
        </w:rPr>
        <w:t>Резюме</w:t>
      </w:r>
    </w:p>
    <w:p w:rsidR="00934217" w:rsidRPr="00804D06" w:rsidRDefault="00934217" w:rsidP="00D23BD9">
      <w:pPr>
        <w:pStyle w:val="NormalWeb"/>
        <w:spacing w:before="0" w:beforeAutospacing="0" w:after="0" w:afterAutospacing="0" w:line="276" w:lineRule="auto"/>
        <w:jc w:val="both"/>
        <w:rPr>
          <w:lang w:val="bg-BG"/>
        </w:rPr>
      </w:pPr>
      <w:r w:rsidRPr="00804D06">
        <w:rPr>
          <w:lang w:val="bg-BG"/>
        </w:rPr>
        <w:t xml:space="preserve">Гъбоподобните оомицетни организми често се свързват с вътрешни водоеми и крайречни екосистеми. Някои от тях са първични сапрофити, използващи растителни остатъци. Други са способни да заразяват различни растителни видове, причинявайки болести, понякога с опустошителна интензивност. Реките са основна среда и път за разпространение на тези организми и като такива тяхното присъствие и състав във вътрешните водоеми е обект на интензивни изследвания през последните години. За да проучим разнообразието на видовете оомицети в най-дългата река в България - Искър, с акцент върху тези, които принадлежат към род </w:t>
      </w:r>
      <w:r w:rsidRPr="00804D06">
        <w:t>Phytophthora</w:t>
      </w:r>
      <w:r w:rsidRPr="00804D06">
        <w:rPr>
          <w:lang w:val="bg-BG"/>
        </w:rPr>
        <w:t xml:space="preserve">, използвахме метод на "уловките", за да уловим </w:t>
      </w:r>
      <w:r w:rsidRPr="00804D06">
        <w:rPr>
          <w:lang w:val="bg-BG"/>
        </w:rPr>
        <w:lastRenderedPageBreak/>
        <w:t xml:space="preserve">плуващите зооспори. Листни "уловки" бяха поставени на 7 места във водите на реката по протежение на Искърското дефиле. Събраните изолати бяха култивирани върху хранителни среди за тяхното морфологично и генетично характеризиране. В резултат открихме 3 рода - </w:t>
      </w:r>
      <w:r w:rsidRPr="00804D06">
        <w:t>Phytophthora</w:t>
      </w:r>
      <w:r w:rsidRPr="00804D06">
        <w:rPr>
          <w:lang w:val="bg-BG"/>
        </w:rPr>
        <w:t xml:space="preserve">, </w:t>
      </w:r>
      <w:r w:rsidRPr="00804D06">
        <w:t>Phytophythium</w:t>
      </w:r>
      <w:r w:rsidRPr="00804D06">
        <w:rPr>
          <w:lang w:val="bg-BG"/>
        </w:rPr>
        <w:t xml:space="preserve"> и </w:t>
      </w:r>
      <w:r w:rsidRPr="00804D06">
        <w:t>Pythium</w:t>
      </w:r>
      <w:r w:rsidRPr="00804D06">
        <w:rPr>
          <w:lang w:val="bg-BG"/>
        </w:rPr>
        <w:t>, представени съответно с 3 (</w:t>
      </w:r>
      <w:r w:rsidRPr="00804D06">
        <w:rPr>
          <w:i/>
        </w:rPr>
        <w:t>Phytophthora</w:t>
      </w:r>
      <w:r w:rsidRPr="00804D06">
        <w:rPr>
          <w:i/>
          <w:lang w:val="bg-BG"/>
        </w:rPr>
        <w:t xml:space="preserve"> </w:t>
      </w:r>
      <w:r w:rsidRPr="00804D06">
        <w:rPr>
          <w:i/>
        </w:rPr>
        <w:t>lacustris</w:t>
      </w:r>
      <w:r w:rsidRPr="00804D06">
        <w:rPr>
          <w:lang w:val="bg-BG"/>
        </w:rPr>
        <w:t xml:space="preserve">, </w:t>
      </w:r>
      <w:r w:rsidRPr="00804D06">
        <w:rPr>
          <w:i/>
        </w:rPr>
        <w:t>Phytophthora</w:t>
      </w:r>
      <w:r w:rsidRPr="00804D06">
        <w:rPr>
          <w:i/>
          <w:lang w:val="bg-BG"/>
        </w:rPr>
        <w:t xml:space="preserve"> </w:t>
      </w:r>
      <w:r w:rsidRPr="00804D06">
        <w:rPr>
          <w:i/>
        </w:rPr>
        <w:t>gonapodyides</w:t>
      </w:r>
      <w:r w:rsidRPr="00804D06">
        <w:rPr>
          <w:lang w:val="bg-BG"/>
        </w:rPr>
        <w:t xml:space="preserve">, </w:t>
      </w:r>
      <w:r w:rsidRPr="00804D06">
        <w:rPr>
          <w:i/>
        </w:rPr>
        <w:t>Phytophthora</w:t>
      </w:r>
      <w:r w:rsidRPr="00804D06">
        <w:rPr>
          <w:i/>
          <w:lang w:val="bg-BG"/>
        </w:rPr>
        <w:t xml:space="preserve"> </w:t>
      </w:r>
      <w:r w:rsidRPr="00804D06">
        <w:rPr>
          <w:i/>
        </w:rPr>
        <w:t>chlamydospora</w:t>
      </w:r>
      <w:r w:rsidRPr="00804D06">
        <w:rPr>
          <w:lang w:val="bg-BG"/>
        </w:rPr>
        <w:t>), 2 (</w:t>
      </w:r>
      <w:r w:rsidRPr="00804D06">
        <w:rPr>
          <w:i/>
        </w:rPr>
        <w:t>Phytopythium</w:t>
      </w:r>
      <w:r w:rsidRPr="00804D06">
        <w:rPr>
          <w:i/>
          <w:lang w:val="bg-BG"/>
        </w:rPr>
        <w:t xml:space="preserve"> </w:t>
      </w:r>
      <w:r w:rsidRPr="00804D06">
        <w:rPr>
          <w:i/>
        </w:rPr>
        <w:t>litorale</w:t>
      </w:r>
      <w:r w:rsidRPr="00804D06">
        <w:rPr>
          <w:lang w:val="bg-BG"/>
        </w:rPr>
        <w:t xml:space="preserve">, </w:t>
      </w:r>
      <w:r w:rsidRPr="00804D06">
        <w:rPr>
          <w:i/>
        </w:rPr>
        <w:t>Phytopythium</w:t>
      </w:r>
      <w:r w:rsidRPr="00804D06">
        <w:rPr>
          <w:i/>
          <w:lang w:val="bg-BG"/>
        </w:rPr>
        <w:t xml:space="preserve"> </w:t>
      </w:r>
      <w:r w:rsidRPr="00804D06">
        <w:rPr>
          <w:i/>
        </w:rPr>
        <w:t>montanum</w:t>
      </w:r>
      <w:r w:rsidRPr="00804D06">
        <w:rPr>
          <w:lang w:val="bg-BG"/>
        </w:rPr>
        <w:t>) и 1 (</w:t>
      </w:r>
      <w:r w:rsidRPr="00804D06">
        <w:rPr>
          <w:i/>
        </w:rPr>
        <w:t>Pythium</w:t>
      </w:r>
      <w:r w:rsidRPr="00804D06">
        <w:rPr>
          <w:i/>
          <w:lang w:val="bg-BG"/>
        </w:rPr>
        <w:t xml:space="preserve"> </w:t>
      </w:r>
      <w:r w:rsidRPr="00804D06">
        <w:rPr>
          <w:i/>
        </w:rPr>
        <w:t>sp</w:t>
      </w:r>
      <w:r w:rsidRPr="00804D06">
        <w:rPr>
          <w:lang w:val="bg-BG"/>
        </w:rPr>
        <w:t xml:space="preserve">.) вида. Всички горепосочени видове от род </w:t>
      </w:r>
      <w:r w:rsidRPr="00804D06">
        <w:t>Phytophthora</w:t>
      </w:r>
      <w:r w:rsidRPr="00804D06">
        <w:rPr>
          <w:lang w:val="bg-BG"/>
        </w:rPr>
        <w:t xml:space="preserve"> са филогенетично близки и  членове на един и същи клад 6, чиито представители са често изолирани от реки. Някои от тези видове са демонстрирали слаба до умерена патогенност срещу някой растителни видове в контролирани експерименти. Повечето от откритите от нас видове оомицети вероятно са естествени обитатели на изследваната крайречна екосистема. </w:t>
      </w:r>
      <w:r w:rsidRPr="00804D06">
        <w:t>Не са открити карантинни видове.</w:t>
      </w:r>
    </w:p>
    <w:p w:rsidR="00934217" w:rsidRDefault="00934217" w:rsidP="00D23BD9">
      <w:pPr>
        <w:pStyle w:val="NormalWeb"/>
        <w:spacing w:before="0" w:beforeAutospacing="0" w:after="0" w:afterAutospacing="0" w:line="276" w:lineRule="auto"/>
        <w:jc w:val="both"/>
        <w:rPr>
          <w:lang w:val="bg-BG"/>
        </w:rPr>
      </w:pPr>
    </w:p>
    <w:p w:rsidR="000E2DFE" w:rsidRPr="002D537F" w:rsidRDefault="000E2DFE" w:rsidP="00D23BD9">
      <w:pPr>
        <w:pStyle w:val="NormalWeb"/>
        <w:numPr>
          <w:ilvl w:val="0"/>
          <w:numId w:val="1"/>
        </w:numPr>
        <w:spacing w:before="0" w:beforeAutospacing="0" w:after="0" w:afterAutospacing="0" w:line="276" w:lineRule="auto"/>
        <w:jc w:val="both"/>
        <w:rPr>
          <w:b/>
        </w:rPr>
      </w:pPr>
      <w:r w:rsidRPr="00804D06">
        <w:t xml:space="preserve">Christiaens, O., Dzhambazova, T., </w:t>
      </w:r>
      <w:r w:rsidRPr="00804D06">
        <w:rPr>
          <w:b/>
        </w:rPr>
        <w:t>Kostov, K.</w:t>
      </w:r>
      <w:r w:rsidRPr="00804D06">
        <w:t xml:space="preserve">, Arpaia, S., Joga, M.R., Urru, I., Sweet, J., Smagghe, G. (2018) Literature review of baseline information on RNAi to support the environmental risk assessment of RNAi-based GM plants. EFSA Supporting Publications 15(5), 1424E. </w:t>
      </w:r>
      <w:r w:rsidRPr="002D537F">
        <w:rPr>
          <w:b/>
        </w:rPr>
        <w:t>(</w:t>
      </w:r>
      <w:r w:rsidR="002008A5">
        <w:rPr>
          <w:b/>
        </w:rPr>
        <w:t>Г9.</w:t>
      </w:r>
      <w:r w:rsidRPr="002D537F">
        <w:rPr>
          <w:b/>
        </w:rPr>
        <w:t>1)</w:t>
      </w:r>
    </w:p>
    <w:p w:rsidR="000E2DFE" w:rsidRPr="00804D06" w:rsidRDefault="000E2DFE" w:rsidP="00D23BD9">
      <w:pPr>
        <w:pStyle w:val="NormalWeb"/>
        <w:spacing w:before="0" w:beforeAutospacing="0" w:after="0" w:afterAutospacing="0" w:line="276" w:lineRule="auto"/>
        <w:ind w:left="360"/>
        <w:jc w:val="both"/>
      </w:pPr>
    </w:p>
    <w:p w:rsidR="000E2DFE" w:rsidRPr="00804D06" w:rsidRDefault="000E2DFE" w:rsidP="00D23BD9">
      <w:pPr>
        <w:pStyle w:val="NormalWeb"/>
        <w:spacing w:before="0" w:beforeAutospacing="0" w:after="0" w:afterAutospacing="0" w:line="276" w:lineRule="auto"/>
        <w:jc w:val="both"/>
      </w:pPr>
      <w:r w:rsidRPr="00804D06">
        <w:t xml:space="preserve">Literature review of baseline information on RNAi to support the environmental risk assessment of RNAi-based GM plants </w:t>
      </w:r>
    </w:p>
    <w:p w:rsidR="000E2DFE" w:rsidRPr="00804D06" w:rsidRDefault="000E2DFE" w:rsidP="00D23BD9">
      <w:pPr>
        <w:pStyle w:val="NormalWeb"/>
        <w:spacing w:before="0" w:beforeAutospacing="0" w:after="0" w:afterAutospacing="0" w:line="276" w:lineRule="auto"/>
        <w:ind w:left="360"/>
        <w:jc w:val="both"/>
      </w:pPr>
    </w:p>
    <w:p w:rsidR="000E2DFE" w:rsidRPr="00804D06" w:rsidRDefault="000E2DFE" w:rsidP="00D23BD9">
      <w:pPr>
        <w:pStyle w:val="NormalWeb"/>
        <w:spacing w:before="0" w:beforeAutospacing="0" w:after="0" w:afterAutospacing="0" w:line="276" w:lineRule="auto"/>
        <w:jc w:val="both"/>
      </w:pPr>
      <w:r w:rsidRPr="00804D06">
        <w:t>Abstract</w:t>
      </w:r>
    </w:p>
    <w:p w:rsidR="000E2DFE" w:rsidRPr="00804D06" w:rsidRDefault="000E2DFE" w:rsidP="00D23BD9">
      <w:pPr>
        <w:pStyle w:val="NormalWeb"/>
        <w:spacing w:before="0" w:beforeAutospacing="0" w:after="0" w:afterAutospacing="0" w:line="276" w:lineRule="auto"/>
        <w:jc w:val="both"/>
      </w:pPr>
      <w:r w:rsidRPr="00804D06">
        <w:t xml:space="preserve">This report is the outcome of an EFSA procurement (OC/EFSA/GMO/2015/02) which aims at reviewing relevant scientific information on RNA interference (RNAi) that could serve as baseline information for the environmental risk assessment of RNAi-based genetically modified (GM) plants. The report is based on a systematic literature search on the use of RNAi molecules in arthropods, nematodes, annelids and molluscs with dsRNA, siRNA and miRNA applied primarily through feeding (oral ingestion) and soaking. The numbers of retrieved publications covering these areas are reported, along with the species name, life stages tested, the target gene and its function, details of the test substances and their concentrations used, methods of delivery and effects. Separate sections discuss the available information on: (1) the uptake and systematic spread of RNAi activity, including a description of the various components involved in this process; (2) the mechanisms of dsRNA-, siRNA- and miRNA-elicited gene silencing and the different factors involved in RNAi efficiency; (3) routes of exposure of the biotic and abiotic environment to dsRNA, siRNA and miRNA from GM plants; (4) the environmental fate of dsRNA, siRNA and miRNA; and (5) the various factors that may limit non-target effects including exposure, factors influencing the silencing efficiency of dsRNA, siRNA and miRNA, possible unintended and off-target effects, and their mechanisms. Finally, an overview of the species of arthropods, nematodes, annelids and molluscs for which genomic data are available is also presented. The report identifies some of the challenges involved in developing plants with RNAi systems which affect invertebrate gene expression. The report also concludes that, currently, knowledge on issues such as exposure, </w:t>
      </w:r>
      <w:r w:rsidRPr="00804D06">
        <w:lastRenderedPageBreak/>
        <w:t>specificity, offtarget effects, sequence similarities and bioinformatics is very limited, as only a few RNAi expressing plants which specifically target invertebrate species have been developed and comprehensively studied.</w:t>
      </w:r>
    </w:p>
    <w:p w:rsidR="000E2DFE" w:rsidRPr="00804D06" w:rsidRDefault="000E2DFE" w:rsidP="00D23BD9">
      <w:pPr>
        <w:pStyle w:val="NormalWeb"/>
        <w:spacing w:before="0" w:beforeAutospacing="0" w:after="0" w:afterAutospacing="0" w:line="276" w:lineRule="auto"/>
        <w:ind w:left="360"/>
        <w:jc w:val="both"/>
      </w:pPr>
    </w:p>
    <w:p w:rsidR="000E2DFE" w:rsidRPr="00804D06" w:rsidRDefault="000E2DFE" w:rsidP="00D23BD9">
      <w:pPr>
        <w:pStyle w:val="NormalWeb"/>
        <w:spacing w:before="0" w:beforeAutospacing="0" w:after="0" w:afterAutospacing="0" w:line="276" w:lineRule="auto"/>
        <w:jc w:val="both"/>
        <w:rPr>
          <w:lang w:val="bg-BG"/>
        </w:rPr>
      </w:pPr>
      <w:r w:rsidRPr="00804D06">
        <w:rPr>
          <w:lang w:val="bg-BG"/>
        </w:rPr>
        <w:t>Ревю на литературата относно базова информация за RNAi за подпомагане на оценката на екологичния риск от ГМО растения, базирани на RNAi</w:t>
      </w:r>
    </w:p>
    <w:p w:rsidR="000E2DFE" w:rsidRPr="00804D06" w:rsidRDefault="000E2DFE" w:rsidP="00D23BD9">
      <w:pPr>
        <w:pStyle w:val="NormalWeb"/>
        <w:spacing w:before="0" w:beforeAutospacing="0" w:after="0" w:afterAutospacing="0" w:line="276" w:lineRule="auto"/>
        <w:ind w:left="360"/>
        <w:jc w:val="both"/>
        <w:rPr>
          <w:lang w:val="bg-BG"/>
        </w:rPr>
      </w:pPr>
    </w:p>
    <w:p w:rsidR="000E2DFE" w:rsidRPr="00804D06" w:rsidRDefault="000E2DFE" w:rsidP="00D23BD9">
      <w:pPr>
        <w:pStyle w:val="NormalWeb"/>
        <w:spacing w:before="0" w:beforeAutospacing="0" w:after="0" w:afterAutospacing="0" w:line="276" w:lineRule="auto"/>
        <w:jc w:val="both"/>
        <w:rPr>
          <w:lang w:val="bg-BG"/>
        </w:rPr>
      </w:pPr>
      <w:r w:rsidRPr="00804D06">
        <w:rPr>
          <w:lang w:val="bg-BG"/>
        </w:rPr>
        <w:t>Резюме</w:t>
      </w:r>
    </w:p>
    <w:p w:rsidR="000E2DFE" w:rsidRPr="00804D06" w:rsidRDefault="000E2DFE" w:rsidP="00D23BD9">
      <w:pPr>
        <w:pStyle w:val="NormalWeb"/>
        <w:spacing w:before="0" w:beforeAutospacing="0" w:after="0" w:afterAutospacing="0" w:line="276" w:lineRule="auto"/>
        <w:jc w:val="both"/>
        <w:rPr>
          <w:lang w:val="bg-BG"/>
        </w:rPr>
      </w:pPr>
      <w:r w:rsidRPr="00804D06">
        <w:rPr>
          <w:lang w:val="bg-BG"/>
        </w:rPr>
        <w:t xml:space="preserve">Този доклад е резултат от обществена поръчка на EFSA (OC/EFSA/GMO/2015/02), която има за цел да направи преглед на съществуващата научна информация относно РНК интерференцията (RNAi), която да послужи като базова информация за оценката на риска за околната среда на генетично модифицирани (ГМ) растения, базирани на RNAi. Докладът се базира върху провеждането на систематично ревю на литература относно употребата на RNAi молекули, като dsRNA, siRNA и miRNA при членестоноги, нематоди, анелиди и мекотели, приложени предимно чрез хранене (поглъщане през устата) и потапяне. В доклада се посочват броят на анализираните публикации в областта, наименованията на третирананите видове и жизненя стадий, целевите гени и неговите функции, както и детайли за използваните субстанции и концентрации, методите на приложение и наблюдаваните ефекти. Отделните раздели обсъждат наличната информация относно: (1) усвояването и системното разпространение на RNAi, включително описание на различните компоненти участващи в този процес; (2) механизмите на генно заглушаване, предизвикано от dsRNA, siRNA и miRNA и различните фактори влияещи върху ефективността на RNAi; (3) пътищата на излагане на dsRNA, siRNA и miRNA произведени от генетично модифицирани растения в биотичната и абиотичната среда; (4) съдбата на dsRNA, siRNA и miRNA в околната среда; и (5) ключовите фактори, които определят нецелевите ефекти, включително експозицията, факторите влияещи върху ефективността на dsRNA, siRNA и miRNA да заглушават генни, възможни нежелани и нецелеви ефекти и техните механизми. Накрая е представен и преглед на видовете членестоноги, нематоди, анелиди и мекотели, за които има налични геномни данни. Докладът идентифицира някои от предизвикателствата, свързани с разработването на растения със „системи“ за RNAi, които влияят върху генната експресия на безгръбначни. Докладът също така заключава, че понастоящем знанията по въпроси като експозиция, специфичност, нецелеви ефекти, сходства в последователностите и биоинформатиката са много ограничени, тъй като съществуват само няколко разработени и всеобхватно проучени растения, чрез използване на RNAi насочена срещу безгръбначни. </w:t>
      </w:r>
    </w:p>
    <w:p w:rsidR="000E2DFE" w:rsidRPr="00804D06" w:rsidRDefault="000E2DFE" w:rsidP="00D23BD9">
      <w:pPr>
        <w:pStyle w:val="NormalWeb"/>
        <w:spacing w:before="0" w:beforeAutospacing="0" w:after="0" w:afterAutospacing="0" w:line="276" w:lineRule="auto"/>
        <w:jc w:val="both"/>
        <w:rPr>
          <w:lang w:val="bg-BG"/>
        </w:rPr>
      </w:pPr>
    </w:p>
    <w:p w:rsidR="000E2DFE" w:rsidRPr="00804D06" w:rsidRDefault="000E2DFE" w:rsidP="00D23BD9">
      <w:pPr>
        <w:pStyle w:val="NormalWeb"/>
        <w:numPr>
          <w:ilvl w:val="0"/>
          <w:numId w:val="1"/>
        </w:numPr>
        <w:spacing w:before="0" w:beforeAutospacing="0" w:after="0" w:afterAutospacing="0" w:line="276" w:lineRule="auto"/>
        <w:jc w:val="both"/>
      </w:pPr>
      <w:r w:rsidRPr="00804D06">
        <w:rPr>
          <w:b/>
        </w:rPr>
        <w:t>Kostov, K.</w:t>
      </w:r>
      <w:r w:rsidRPr="00804D06">
        <w:t xml:space="preserve">, Smagghe, G. (2025) RNA interference: View on its current status since the 2006 Nobel Prize and impact on the agriculture looking to the future. In: RNA interference in Agriculture: Basic Science to Applications. Springer, Cham, 25–50. </w:t>
      </w:r>
      <w:r w:rsidRPr="00C51DA1">
        <w:rPr>
          <w:b/>
        </w:rPr>
        <w:t>(</w:t>
      </w:r>
      <w:r w:rsidR="002008A5">
        <w:rPr>
          <w:b/>
        </w:rPr>
        <w:t>Г10.</w:t>
      </w:r>
      <w:r w:rsidRPr="00C51DA1">
        <w:rPr>
          <w:b/>
        </w:rPr>
        <w:t>1)</w:t>
      </w:r>
    </w:p>
    <w:p w:rsidR="000E2DFE" w:rsidRPr="00804D06" w:rsidRDefault="000E2DFE" w:rsidP="00D23BD9">
      <w:pPr>
        <w:pStyle w:val="NormalWeb"/>
        <w:spacing w:after="0" w:afterAutospacing="0" w:line="276" w:lineRule="auto"/>
        <w:jc w:val="both"/>
      </w:pPr>
      <w:r w:rsidRPr="00804D06">
        <w:t>RNA Interference: View on Its Current Status Since the 2006 Nobel Prize and Impact on the Agriculture Looking to the Future</w:t>
      </w:r>
    </w:p>
    <w:p w:rsidR="000E2DFE" w:rsidRPr="00804D06" w:rsidRDefault="000E2DFE" w:rsidP="00D23BD9">
      <w:pPr>
        <w:pStyle w:val="NormalWeb"/>
        <w:spacing w:after="0" w:afterAutospacing="0" w:line="276" w:lineRule="auto"/>
        <w:jc w:val="both"/>
      </w:pPr>
      <w:r w:rsidRPr="00804D06">
        <w:lastRenderedPageBreak/>
        <w:t xml:space="preserve">Abstract </w:t>
      </w:r>
    </w:p>
    <w:p w:rsidR="000E2DFE" w:rsidRPr="00804D06" w:rsidRDefault="000E2DFE" w:rsidP="00D23BD9">
      <w:pPr>
        <w:pStyle w:val="NormalWeb"/>
        <w:spacing w:after="0" w:afterAutospacing="0" w:line="276" w:lineRule="auto"/>
        <w:jc w:val="both"/>
      </w:pPr>
      <w:r w:rsidRPr="00804D06">
        <w:t>The scientific research on the application of RNA interference (RNAi) in plant protection is piling up and offers new strategies with several commercial applications already available, which marks the beginning of the technology’s impact on global agricultural production. Both pests and diseases can be controlled with high specificity by exposure to dsRNA, while the protection efficiency depends mainly on the species sensitivity, the targeted gene, and the delivery method. Today, China is an undisputed leader in RNAi research, with more than 60% of the published studies in the last few years; however, the first commercialized products were released on the US market, and also much original basic research has been done in Europe. The current developments in this field are related to the understanding of the factors influencing species sensitivity to dsRNA exposure, mostly with regard to insects but also other species, and to increasing the number of pests and pathogens in which the strategy has been tested. Much has been done to improve the two main methods of dsRNA delivery, namely by expression in the host plants or by spraying. To realize its potential, the technology is facing several challenges, including regulatory uncertainties and the stability and durability of the protection, as well as the need for pro-active prevention of resistance development against the insecticidal dsRNA.</w:t>
      </w:r>
    </w:p>
    <w:p w:rsidR="000E2DFE" w:rsidRPr="00804D06" w:rsidRDefault="000E2DFE" w:rsidP="00D23BD9">
      <w:pPr>
        <w:pStyle w:val="NormalWeb"/>
        <w:spacing w:after="0" w:afterAutospacing="0" w:line="276" w:lineRule="auto"/>
        <w:jc w:val="both"/>
        <w:rPr>
          <w:lang w:val="bg-BG"/>
        </w:rPr>
      </w:pPr>
      <w:r w:rsidRPr="00804D06">
        <w:rPr>
          <w:lang w:val="bg-BG"/>
        </w:rPr>
        <w:t>РНК интерференция: Поглед върху текущото ѝ състояние след Нобеловата награда през 2006 г. и въздействието ѝ върху селското стопанство с поглед към бъдещето</w:t>
      </w:r>
    </w:p>
    <w:p w:rsidR="000E2DFE" w:rsidRPr="00804D06" w:rsidRDefault="000E2DFE" w:rsidP="00D23BD9">
      <w:pPr>
        <w:pStyle w:val="NormalWeb"/>
        <w:spacing w:after="0" w:afterAutospacing="0" w:line="276" w:lineRule="auto"/>
        <w:jc w:val="both"/>
        <w:rPr>
          <w:lang w:val="bg-BG"/>
        </w:rPr>
      </w:pPr>
      <w:r w:rsidRPr="00804D06">
        <w:rPr>
          <w:lang w:val="bg-BG"/>
        </w:rPr>
        <w:t>Резюме</w:t>
      </w:r>
    </w:p>
    <w:p w:rsidR="00FC0D0C" w:rsidRPr="00F829DF" w:rsidRDefault="000E2DFE" w:rsidP="002D7FE7">
      <w:pPr>
        <w:pStyle w:val="NormalWeb"/>
        <w:spacing w:before="0" w:beforeAutospacing="0" w:after="0" w:afterAutospacing="0" w:line="276" w:lineRule="auto"/>
        <w:jc w:val="both"/>
        <w:rPr>
          <w:lang w:val="bg-BG"/>
        </w:rPr>
      </w:pPr>
      <w:r w:rsidRPr="00804D06">
        <w:rPr>
          <w:lang w:val="bg-BG"/>
        </w:rPr>
        <w:t>Научните изследвания относно приложението на РНК интерференцията (RNAi) в растителната защита нарастват, като се предлагат нови стратегии и търговски продукти, което отбелязва началото на въздействието на технологията върху световното селскостопанско производство. Както вредителите, така и болестите могат да бъдат контролирани с висока специфичност чрез прилагане на двуверижна РНК (dsRNA), като ефективността на защитата зависи главно от чувствителността на вида, атакувания ген и метода на прилагане. Днес Китай е безспорен лидер в изследванията свързани с RNAi, с повече от 60% от публикуваните през последните няколко години изследвания, но първите търговски продукти са пуснати на американския пазар, а в Европа са проведени много от оригиналните, фундаментални изследвания. Настоящите разработки в тази област са свързани с разбирането на факторите, влияещи върху чувствителността на видовете към излагане на dsRNA, най-вече по отношение на насекоми, но и на други видове, както и с увеличаване на броя на вредителите и патогените, при които стратегията е тествана. Много е направено за подобряване на двата основни метода за приложение на dsRNA, а именно чрез експресия в растенията гостоприемници или чрез пръскане. За да реализира потенциала си, технологията е изправена пред няколко предизвикателства, включително регулаторни несигурности, стабилността и дълготрайността на защита, както и необходимостта от проактивно предотвратяване на развитието на резистент</w:t>
      </w:r>
      <w:r w:rsidR="00B679F6">
        <w:rPr>
          <w:lang w:val="bg-BG"/>
        </w:rPr>
        <w:t>ност срещу инсектицидната dsRNA</w:t>
      </w:r>
      <w:r w:rsidR="00B679F6" w:rsidRPr="00B679F6">
        <w:rPr>
          <w:lang w:val="bg-BG"/>
        </w:rPr>
        <w:t>.</w:t>
      </w:r>
      <w:bookmarkStart w:id="0" w:name="_GoBack"/>
      <w:bookmarkEnd w:id="0"/>
    </w:p>
    <w:sectPr w:rsidR="00FC0D0C" w:rsidRPr="00F829D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392" w:rsidRDefault="00120392" w:rsidP="00491A66">
      <w:pPr>
        <w:spacing w:after="0" w:line="240" w:lineRule="auto"/>
      </w:pPr>
      <w:r>
        <w:separator/>
      </w:r>
    </w:p>
  </w:endnote>
  <w:endnote w:type="continuationSeparator" w:id="0">
    <w:p w:rsidR="00120392" w:rsidRDefault="00120392" w:rsidP="00491A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392" w:rsidRDefault="00120392" w:rsidP="00491A66">
      <w:pPr>
        <w:spacing w:after="0" w:line="240" w:lineRule="auto"/>
      </w:pPr>
      <w:r>
        <w:separator/>
      </w:r>
    </w:p>
  </w:footnote>
  <w:footnote w:type="continuationSeparator" w:id="0">
    <w:p w:rsidR="00120392" w:rsidRDefault="00120392" w:rsidP="00491A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F5500"/>
    <w:multiLevelType w:val="hybridMultilevel"/>
    <w:tmpl w:val="73D8C0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AB7F08"/>
    <w:multiLevelType w:val="hybridMultilevel"/>
    <w:tmpl w:val="A99EB7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8E264D"/>
    <w:multiLevelType w:val="hybridMultilevel"/>
    <w:tmpl w:val="42BE05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5B3F63"/>
    <w:multiLevelType w:val="hybridMultilevel"/>
    <w:tmpl w:val="532C14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8C588D"/>
    <w:multiLevelType w:val="hybridMultilevel"/>
    <w:tmpl w:val="BC8A7B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C41213"/>
    <w:multiLevelType w:val="hybridMultilevel"/>
    <w:tmpl w:val="3A66D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AA062D"/>
    <w:multiLevelType w:val="hybridMultilevel"/>
    <w:tmpl w:val="5F84A8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DC460F"/>
    <w:multiLevelType w:val="hybridMultilevel"/>
    <w:tmpl w:val="231671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951004"/>
    <w:multiLevelType w:val="hybridMultilevel"/>
    <w:tmpl w:val="DC8A3B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BA250F"/>
    <w:multiLevelType w:val="hybridMultilevel"/>
    <w:tmpl w:val="EFD6AD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363DF2"/>
    <w:multiLevelType w:val="hybridMultilevel"/>
    <w:tmpl w:val="97BA38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560D22"/>
    <w:multiLevelType w:val="hybridMultilevel"/>
    <w:tmpl w:val="B3BA96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290E0B"/>
    <w:multiLevelType w:val="hybridMultilevel"/>
    <w:tmpl w:val="76889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9C45B0"/>
    <w:multiLevelType w:val="hybridMultilevel"/>
    <w:tmpl w:val="9BB87C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BA219D"/>
    <w:multiLevelType w:val="hybridMultilevel"/>
    <w:tmpl w:val="71F08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F20EDE"/>
    <w:multiLevelType w:val="hybridMultilevel"/>
    <w:tmpl w:val="6DEA43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0264C2"/>
    <w:multiLevelType w:val="hybridMultilevel"/>
    <w:tmpl w:val="9FA633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6654BB"/>
    <w:multiLevelType w:val="hybridMultilevel"/>
    <w:tmpl w:val="FAFE6E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982DC7"/>
    <w:multiLevelType w:val="hybridMultilevel"/>
    <w:tmpl w:val="1D6C3C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757900"/>
    <w:multiLevelType w:val="hybridMultilevel"/>
    <w:tmpl w:val="23CE21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A0612B"/>
    <w:multiLevelType w:val="hybridMultilevel"/>
    <w:tmpl w:val="8AFEB9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8F442F"/>
    <w:multiLevelType w:val="hybridMultilevel"/>
    <w:tmpl w:val="0494D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C75C7A"/>
    <w:multiLevelType w:val="hybridMultilevel"/>
    <w:tmpl w:val="1E1095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FC41C6"/>
    <w:multiLevelType w:val="hybridMultilevel"/>
    <w:tmpl w:val="ED9405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457FB3"/>
    <w:multiLevelType w:val="hybridMultilevel"/>
    <w:tmpl w:val="764A7D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0F27CA"/>
    <w:multiLevelType w:val="hybridMultilevel"/>
    <w:tmpl w:val="41DA9E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F2D6AD8"/>
    <w:multiLevelType w:val="hybridMultilevel"/>
    <w:tmpl w:val="EA928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131DF6"/>
    <w:multiLevelType w:val="hybridMultilevel"/>
    <w:tmpl w:val="30AEDD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712648"/>
    <w:multiLevelType w:val="hybridMultilevel"/>
    <w:tmpl w:val="1F8C9D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60619B"/>
    <w:multiLevelType w:val="hybridMultilevel"/>
    <w:tmpl w:val="1A046C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961C36"/>
    <w:multiLevelType w:val="hybridMultilevel"/>
    <w:tmpl w:val="6B4CE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F733D35"/>
    <w:multiLevelType w:val="hybridMultilevel"/>
    <w:tmpl w:val="3544B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0"/>
  </w:num>
  <w:num w:numId="3">
    <w:abstractNumId w:val="17"/>
  </w:num>
  <w:num w:numId="4">
    <w:abstractNumId w:val="1"/>
  </w:num>
  <w:num w:numId="5">
    <w:abstractNumId w:val="31"/>
  </w:num>
  <w:num w:numId="6">
    <w:abstractNumId w:val="13"/>
  </w:num>
  <w:num w:numId="7">
    <w:abstractNumId w:val="2"/>
  </w:num>
  <w:num w:numId="8">
    <w:abstractNumId w:val="22"/>
  </w:num>
  <w:num w:numId="9">
    <w:abstractNumId w:val="28"/>
  </w:num>
  <w:num w:numId="10">
    <w:abstractNumId w:val="20"/>
  </w:num>
  <w:num w:numId="11">
    <w:abstractNumId w:val="8"/>
  </w:num>
  <w:num w:numId="12">
    <w:abstractNumId w:val="18"/>
  </w:num>
  <w:num w:numId="13">
    <w:abstractNumId w:val="26"/>
  </w:num>
  <w:num w:numId="14">
    <w:abstractNumId w:val="25"/>
  </w:num>
  <w:num w:numId="15">
    <w:abstractNumId w:val="14"/>
  </w:num>
  <w:num w:numId="16">
    <w:abstractNumId w:val="15"/>
  </w:num>
  <w:num w:numId="17">
    <w:abstractNumId w:val="7"/>
  </w:num>
  <w:num w:numId="18">
    <w:abstractNumId w:val="9"/>
  </w:num>
  <w:num w:numId="19">
    <w:abstractNumId w:val="11"/>
  </w:num>
  <w:num w:numId="20">
    <w:abstractNumId w:val="23"/>
  </w:num>
  <w:num w:numId="21">
    <w:abstractNumId w:val="21"/>
  </w:num>
  <w:num w:numId="22">
    <w:abstractNumId w:val="19"/>
  </w:num>
  <w:num w:numId="23">
    <w:abstractNumId w:val="24"/>
  </w:num>
  <w:num w:numId="24">
    <w:abstractNumId w:val="10"/>
  </w:num>
  <w:num w:numId="25">
    <w:abstractNumId w:val="5"/>
  </w:num>
  <w:num w:numId="26">
    <w:abstractNumId w:val="27"/>
  </w:num>
  <w:num w:numId="27">
    <w:abstractNumId w:val="29"/>
  </w:num>
  <w:num w:numId="28">
    <w:abstractNumId w:val="6"/>
  </w:num>
  <w:num w:numId="29">
    <w:abstractNumId w:val="3"/>
  </w:num>
  <w:num w:numId="30">
    <w:abstractNumId w:val="12"/>
  </w:num>
  <w:num w:numId="31">
    <w:abstractNumId w:val="4"/>
  </w:num>
  <w:num w:numId="3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9DF"/>
    <w:rsid w:val="000E2DFE"/>
    <w:rsid w:val="00120392"/>
    <w:rsid w:val="00126B5D"/>
    <w:rsid w:val="002008A5"/>
    <w:rsid w:val="002C1D5F"/>
    <w:rsid w:val="002C299A"/>
    <w:rsid w:val="002C31A7"/>
    <w:rsid w:val="002D76F2"/>
    <w:rsid w:val="002D7FE7"/>
    <w:rsid w:val="003C1D77"/>
    <w:rsid w:val="00491A66"/>
    <w:rsid w:val="004A31B6"/>
    <w:rsid w:val="006A6277"/>
    <w:rsid w:val="006E00D9"/>
    <w:rsid w:val="00837592"/>
    <w:rsid w:val="00926EE9"/>
    <w:rsid w:val="00934217"/>
    <w:rsid w:val="00B569FC"/>
    <w:rsid w:val="00B679F6"/>
    <w:rsid w:val="00BF2E1B"/>
    <w:rsid w:val="00D23BD9"/>
    <w:rsid w:val="00F829DF"/>
    <w:rsid w:val="00FC0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5091B"/>
  <w15:chartTrackingRefBased/>
  <w15:docId w15:val="{6652EDB1-CF8B-4E35-9AD9-7CD165D71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29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829D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91A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1A66"/>
    <w:rPr>
      <w:rFonts w:ascii="Segoe UI" w:hAnsi="Segoe UI" w:cs="Segoe UI"/>
      <w:sz w:val="18"/>
      <w:szCs w:val="18"/>
    </w:rPr>
  </w:style>
  <w:style w:type="paragraph" w:styleId="Header">
    <w:name w:val="header"/>
    <w:basedOn w:val="Normal"/>
    <w:link w:val="HeaderChar"/>
    <w:uiPriority w:val="99"/>
    <w:unhideWhenUsed/>
    <w:rsid w:val="00491A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A66"/>
  </w:style>
  <w:style w:type="paragraph" w:styleId="Footer">
    <w:name w:val="footer"/>
    <w:basedOn w:val="Normal"/>
    <w:link w:val="FooterChar"/>
    <w:uiPriority w:val="99"/>
    <w:unhideWhenUsed/>
    <w:rsid w:val="00491A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A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183</TotalTime>
  <Pages>38</Pages>
  <Words>16031</Words>
  <Characters>91379</Characters>
  <Application>Microsoft Office Word</Application>
  <DocSecurity>0</DocSecurity>
  <Lines>761</Lines>
  <Paragraphs>214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Kaloyan</dc:creator>
  <cp:keywords/>
  <dc:description/>
  <cp:lastModifiedBy>Kaloyan</cp:lastModifiedBy>
  <cp:revision>19</cp:revision>
  <cp:lastPrinted>2026-03-13T13:05:00Z</cp:lastPrinted>
  <dcterms:created xsi:type="dcterms:W3CDTF">2026-03-10T13:04:00Z</dcterms:created>
  <dcterms:modified xsi:type="dcterms:W3CDTF">2026-03-16T13:20:00Z</dcterms:modified>
</cp:coreProperties>
</file>